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EB464" w14:textId="77777777" w:rsidR="008F392B" w:rsidRDefault="000D3C0D">
      <w:pPr>
        <w:jc w:val="center"/>
        <w:rPr>
          <w:b/>
        </w:rPr>
      </w:pPr>
      <w:r>
        <w:rPr>
          <w:b/>
        </w:rPr>
        <w:t>Select Theories Relevant to KM</w:t>
      </w:r>
    </w:p>
    <w:p w14:paraId="17BEB465" w14:textId="66854FA2" w:rsidR="008F392B" w:rsidRDefault="000D3C0D">
      <w:r>
        <w:t>The theories listed below are examples used</w:t>
      </w:r>
      <w:r>
        <w:t xml:space="preserve"> within our KM work. However, this is not to say these are the only theories that can be applied. As you begin to use systematic KM in your work, add the theories you apply to this list!</w:t>
      </w:r>
    </w:p>
    <w:tbl>
      <w:tblPr>
        <w:tblStyle w:val="a"/>
        <w:tblW w:w="1043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305"/>
        <w:gridCol w:w="1530"/>
        <w:gridCol w:w="3995"/>
        <w:gridCol w:w="3600"/>
      </w:tblGrid>
      <w:tr w:rsidR="008F392B" w14:paraId="17BEB46A" w14:textId="77777777" w:rsidTr="000D3C0D">
        <w:trPr>
          <w:tblHeader/>
          <w:jc w:val="center"/>
        </w:trPr>
        <w:tc>
          <w:tcPr>
            <w:tcW w:w="1305" w:type="dxa"/>
            <w:tcBorders>
              <w:top w:val="single" w:sz="8" w:space="0" w:color="000000"/>
              <w:left w:val="single" w:sz="8" w:space="0" w:color="000000"/>
            </w:tcBorders>
            <w:shd w:val="clear" w:color="auto" w:fill="348DA5"/>
            <w:tcMar>
              <w:top w:w="100" w:type="dxa"/>
              <w:left w:w="100" w:type="dxa"/>
              <w:bottom w:w="100" w:type="dxa"/>
              <w:right w:w="100" w:type="dxa"/>
            </w:tcMar>
            <w:vAlign w:val="bottom"/>
          </w:tcPr>
          <w:p w14:paraId="17BEB466" w14:textId="77777777" w:rsidR="008F392B" w:rsidRDefault="000D3C0D">
            <w:pPr>
              <w:spacing w:after="0"/>
              <w:rPr>
                <w:color w:val="FFFFFF"/>
              </w:rPr>
            </w:pPr>
            <w:r>
              <w:rPr>
                <w:b/>
                <w:color w:val="FFFFFF"/>
                <w:sz w:val="20"/>
                <w:szCs w:val="20"/>
              </w:rPr>
              <w:t>Theory</w:t>
            </w:r>
          </w:p>
        </w:tc>
        <w:tc>
          <w:tcPr>
            <w:tcW w:w="1530" w:type="dxa"/>
            <w:tcBorders>
              <w:top w:val="single" w:sz="8" w:space="0" w:color="000000"/>
            </w:tcBorders>
            <w:shd w:val="clear" w:color="auto" w:fill="348DA5"/>
            <w:tcMar>
              <w:top w:w="100" w:type="dxa"/>
              <w:left w:w="100" w:type="dxa"/>
              <w:bottom w:w="100" w:type="dxa"/>
              <w:right w:w="100" w:type="dxa"/>
            </w:tcMar>
            <w:vAlign w:val="bottom"/>
          </w:tcPr>
          <w:p w14:paraId="17BEB467" w14:textId="77777777" w:rsidR="008F392B" w:rsidRDefault="000D3C0D">
            <w:pPr>
              <w:spacing w:after="0"/>
              <w:jc w:val="center"/>
              <w:rPr>
                <w:color w:val="FFFFFF"/>
              </w:rPr>
            </w:pPr>
            <w:r>
              <w:rPr>
                <w:b/>
                <w:color w:val="FFFFFF"/>
                <w:sz w:val="20"/>
                <w:szCs w:val="20"/>
              </w:rPr>
              <w:t>Focus</w:t>
            </w:r>
          </w:p>
        </w:tc>
        <w:tc>
          <w:tcPr>
            <w:tcW w:w="3995" w:type="dxa"/>
            <w:tcBorders>
              <w:top w:val="single" w:sz="8" w:space="0" w:color="000000"/>
            </w:tcBorders>
            <w:shd w:val="clear" w:color="auto" w:fill="348DA5"/>
            <w:tcMar>
              <w:top w:w="100" w:type="dxa"/>
              <w:left w:w="100" w:type="dxa"/>
              <w:bottom w:w="100" w:type="dxa"/>
              <w:right w:w="100" w:type="dxa"/>
            </w:tcMar>
            <w:vAlign w:val="bottom"/>
          </w:tcPr>
          <w:p w14:paraId="17BEB468" w14:textId="77777777" w:rsidR="008F392B" w:rsidRDefault="000D3C0D">
            <w:pPr>
              <w:spacing w:after="0"/>
              <w:jc w:val="center"/>
              <w:rPr>
                <w:color w:val="FFFFFF"/>
              </w:rPr>
            </w:pPr>
            <w:r>
              <w:rPr>
                <w:b/>
                <w:color w:val="FFFFFF"/>
                <w:sz w:val="20"/>
                <w:szCs w:val="20"/>
              </w:rPr>
              <w:t>Key Concepts</w:t>
            </w:r>
          </w:p>
        </w:tc>
        <w:tc>
          <w:tcPr>
            <w:tcW w:w="3600" w:type="dxa"/>
            <w:tcBorders>
              <w:top w:val="single" w:sz="8" w:space="0" w:color="000000"/>
              <w:right w:val="single" w:sz="8" w:space="0" w:color="000000"/>
            </w:tcBorders>
            <w:shd w:val="clear" w:color="auto" w:fill="348DA5"/>
            <w:tcMar>
              <w:top w:w="100" w:type="dxa"/>
              <w:left w:w="100" w:type="dxa"/>
              <w:bottom w:w="100" w:type="dxa"/>
              <w:right w:w="100" w:type="dxa"/>
            </w:tcMar>
          </w:tcPr>
          <w:p w14:paraId="17BEB469" w14:textId="77777777" w:rsidR="008F392B" w:rsidRDefault="000D3C0D">
            <w:pPr>
              <w:spacing w:after="0"/>
              <w:jc w:val="center"/>
              <w:rPr>
                <w:color w:val="FFFFFF"/>
              </w:rPr>
            </w:pPr>
            <w:r>
              <w:rPr>
                <w:b/>
                <w:color w:val="FFFFFF"/>
                <w:sz w:val="20"/>
                <w:szCs w:val="20"/>
              </w:rPr>
              <w:t>Application in KM</w:t>
            </w:r>
          </w:p>
        </w:tc>
      </w:tr>
      <w:tr w:rsidR="008F392B" w14:paraId="17BEB475" w14:textId="77777777">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14:paraId="17BEB46B" w14:textId="77777777" w:rsidR="008F392B" w:rsidRDefault="000D3C0D">
            <w:pPr>
              <w:spacing w:after="0"/>
              <w:rPr>
                <w:sz w:val="20"/>
                <w:szCs w:val="20"/>
              </w:rPr>
            </w:pPr>
            <w:r>
              <w:rPr>
                <w:sz w:val="20"/>
                <w:szCs w:val="20"/>
              </w:rPr>
              <w:t>Bloom’s taxonomy of learning</w:t>
            </w:r>
            <w:r>
              <w:rPr>
                <w:sz w:val="20"/>
                <w:szCs w:val="20"/>
                <w:vertAlign w:val="superscript"/>
              </w:rPr>
              <w:t>5</w:t>
            </w:r>
          </w:p>
          <w:p w14:paraId="17BEB46C" w14:textId="77777777" w:rsidR="008F392B" w:rsidRDefault="008F392B">
            <w:pPr>
              <w:spacing w:after="0"/>
              <w:rPr>
                <w:sz w:val="20"/>
                <w:szCs w:val="20"/>
              </w:rPr>
            </w:pPr>
          </w:p>
          <w:p w14:paraId="17BEB46D" w14:textId="77777777" w:rsidR="008F392B" w:rsidRDefault="008F392B">
            <w:pPr>
              <w:spacing w:after="0"/>
              <w:rPr>
                <w:sz w:val="20"/>
                <w:szCs w:val="20"/>
              </w:rPr>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6E" w14:textId="77777777" w:rsidR="008F392B" w:rsidRDefault="000D3C0D">
            <w:pPr>
              <w:spacing w:after="0"/>
              <w:rPr>
                <w:sz w:val="20"/>
                <w:szCs w:val="20"/>
              </w:rPr>
            </w:pPr>
            <w:r>
              <w:rPr>
                <w:sz w:val="20"/>
                <w:szCs w:val="20"/>
              </w:rPr>
              <w:t>Promoting concepts, processes, and procedures in education, rather than just rote learning</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6F" w14:textId="77777777" w:rsidR="008F392B" w:rsidRDefault="000D3C0D">
            <w:pPr>
              <w:spacing w:after="0"/>
              <w:rPr>
                <w:sz w:val="20"/>
                <w:szCs w:val="20"/>
              </w:rPr>
            </w:pPr>
            <w:r>
              <w:rPr>
                <w:sz w:val="20"/>
                <w:szCs w:val="20"/>
              </w:rPr>
              <w:t xml:space="preserve">Learning centers around three domains: </w:t>
            </w:r>
          </w:p>
          <w:p w14:paraId="17BEB470" w14:textId="77777777" w:rsidR="008F392B" w:rsidRDefault="000D3C0D">
            <w:pPr>
              <w:numPr>
                <w:ilvl w:val="0"/>
                <w:numId w:val="2"/>
              </w:numPr>
              <w:spacing w:after="0"/>
              <w:contextualSpacing/>
              <w:rPr>
                <w:sz w:val="20"/>
                <w:szCs w:val="20"/>
              </w:rPr>
            </w:pPr>
            <w:r>
              <w:rPr>
                <w:sz w:val="20"/>
                <w:szCs w:val="20"/>
              </w:rPr>
              <w:t>Cognitive (knowledge)</w:t>
            </w:r>
          </w:p>
          <w:p w14:paraId="17BEB471" w14:textId="77777777" w:rsidR="008F392B" w:rsidRDefault="000D3C0D">
            <w:pPr>
              <w:numPr>
                <w:ilvl w:val="0"/>
                <w:numId w:val="2"/>
              </w:numPr>
              <w:spacing w:after="0"/>
              <w:contextualSpacing/>
              <w:rPr>
                <w:sz w:val="20"/>
                <w:szCs w:val="20"/>
              </w:rPr>
            </w:pPr>
            <w:r>
              <w:rPr>
                <w:sz w:val="20"/>
                <w:szCs w:val="20"/>
              </w:rPr>
              <w:t>Affective (attitude)</w:t>
            </w:r>
          </w:p>
          <w:p w14:paraId="17BEB472" w14:textId="77777777" w:rsidR="008F392B" w:rsidRDefault="000D3C0D">
            <w:pPr>
              <w:numPr>
                <w:ilvl w:val="0"/>
                <w:numId w:val="2"/>
              </w:numPr>
              <w:spacing w:after="0"/>
              <w:contextualSpacing/>
              <w:rPr>
                <w:sz w:val="20"/>
                <w:szCs w:val="20"/>
              </w:rPr>
            </w:pPr>
            <w:r>
              <w:rPr>
                <w:sz w:val="20"/>
                <w:szCs w:val="20"/>
              </w:rPr>
              <w:t>Psychomotor (skills)</w:t>
            </w:r>
          </w:p>
          <w:p w14:paraId="17BEB473" w14:textId="77777777" w:rsidR="008F392B" w:rsidRDefault="000D3C0D">
            <w:pPr>
              <w:spacing w:after="0"/>
              <w:rPr>
                <w:sz w:val="20"/>
                <w:szCs w:val="20"/>
              </w:rPr>
            </w:pPr>
            <w:r>
              <w:rPr>
                <w:sz w:val="20"/>
                <w:szCs w:val="20"/>
              </w:rPr>
              <w:t xml:space="preserve">The level of expertise in each domain can be expressed using a multi-tiered scale; for example, the knowledge domain consists of six levels of expertise: knowledge, comprehension, application, analysis, synthesis, </w:t>
            </w:r>
            <w:r>
              <w:rPr>
                <w:sz w:val="20"/>
                <w:szCs w:val="20"/>
              </w:rPr>
              <w:t>and evaluation.</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7BEB474" w14:textId="77777777" w:rsidR="008F392B" w:rsidRDefault="000D3C0D">
            <w:pPr>
              <w:spacing w:after="0"/>
              <w:rPr>
                <w:sz w:val="20"/>
                <w:szCs w:val="20"/>
              </w:rPr>
            </w:pPr>
            <w:r>
              <w:rPr>
                <w:sz w:val="20"/>
                <w:szCs w:val="20"/>
              </w:rPr>
              <w:t>Recognizing the different domains of learning can help KM activities address not only knowledge but also skills and attitudes. For example, a KM activity can help improve physicians’ knowledge about LARCs as well as their skills in insertin</w:t>
            </w:r>
            <w:r>
              <w:rPr>
                <w:sz w:val="20"/>
                <w:szCs w:val="20"/>
              </w:rPr>
              <w:t xml:space="preserve">g LARC methods and their attitudes about providing these methods. Identifying the level of expertise desired in each domain will also help determine specific approaches to use as well as techniques to assess effectiveness.  </w:t>
            </w:r>
          </w:p>
        </w:tc>
      </w:tr>
      <w:tr w:rsidR="008F392B" w14:paraId="17BEB481" w14:textId="77777777">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14:paraId="17BEB476" w14:textId="77777777" w:rsidR="008F392B" w:rsidRDefault="000D3C0D">
            <w:pPr>
              <w:spacing w:after="0"/>
              <w:rPr>
                <w:sz w:val="20"/>
                <w:szCs w:val="20"/>
              </w:rPr>
            </w:pPr>
            <w:r>
              <w:rPr>
                <w:sz w:val="20"/>
                <w:szCs w:val="20"/>
              </w:rPr>
              <w:t>Diffusion of innovations</w:t>
            </w:r>
            <w:r>
              <w:rPr>
                <w:sz w:val="20"/>
                <w:szCs w:val="20"/>
                <w:vertAlign w:val="superscript"/>
              </w:rPr>
              <w:t>6</w:t>
            </w:r>
          </w:p>
          <w:p w14:paraId="17BEB477" w14:textId="77777777" w:rsidR="008F392B" w:rsidRDefault="008F392B">
            <w:pPr>
              <w:spacing w:after="0"/>
              <w:rPr>
                <w:sz w:val="20"/>
                <w:szCs w:val="20"/>
              </w:rPr>
            </w:pPr>
          </w:p>
          <w:p w14:paraId="17BEB478" w14:textId="77777777" w:rsidR="008F392B" w:rsidRDefault="008F392B">
            <w:pPr>
              <w:spacing w:after="0"/>
              <w:rPr>
                <w:sz w:val="20"/>
                <w:szCs w:val="20"/>
              </w:rPr>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79" w14:textId="77777777" w:rsidR="008F392B" w:rsidRDefault="000D3C0D">
            <w:pPr>
              <w:spacing w:after="0"/>
              <w:rPr>
                <w:sz w:val="20"/>
                <w:szCs w:val="20"/>
              </w:rPr>
            </w:pPr>
            <w:r>
              <w:rPr>
                <w:sz w:val="20"/>
                <w:szCs w:val="20"/>
              </w:rPr>
              <w:t>Ho</w:t>
            </w:r>
            <w:r>
              <w:rPr>
                <w:sz w:val="20"/>
                <w:szCs w:val="20"/>
              </w:rPr>
              <w:t>w new ideas, products, and practices spread within a system over time</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7A" w14:textId="77777777" w:rsidR="008F392B" w:rsidRDefault="000D3C0D">
            <w:pPr>
              <w:spacing w:after="0"/>
              <w:rPr>
                <w:sz w:val="20"/>
                <w:szCs w:val="20"/>
              </w:rPr>
            </w:pPr>
            <w:r>
              <w:rPr>
                <w:sz w:val="20"/>
                <w:szCs w:val="20"/>
              </w:rPr>
              <w:t xml:space="preserve">There are five types of adopters to consider when promoting a new product or idea: </w:t>
            </w:r>
          </w:p>
          <w:p w14:paraId="17BEB47B" w14:textId="77777777" w:rsidR="008F392B" w:rsidRDefault="000D3C0D">
            <w:pPr>
              <w:numPr>
                <w:ilvl w:val="0"/>
                <w:numId w:val="1"/>
              </w:numPr>
              <w:spacing w:after="0"/>
              <w:ind w:left="295" w:hanging="295"/>
              <w:contextualSpacing/>
            </w:pPr>
            <w:r>
              <w:rPr>
                <w:sz w:val="20"/>
                <w:szCs w:val="20"/>
              </w:rPr>
              <w:t>Innovators (want to be the first to try the innovation)</w:t>
            </w:r>
          </w:p>
          <w:p w14:paraId="17BEB47C" w14:textId="77777777" w:rsidR="008F392B" w:rsidRDefault="000D3C0D">
            <w:pPr>
              <w:numPr>
                <w:ilvl w:val="0"/>
                <w:numId w:val="1"/>
              </w:numPr>
              <w:spacing w:after="0"/>
              <w:ind w:left="295" w:hanging="295"/>
              <w:contextualSpacing/>
            </w:pPr>
            <w:r>
              <w:rPr>
                <w:sz w:val="20"/>
                <w:szCs w:val="20"/>
              </w:rPr>
              <w:t>Early adopters (comfortable with adopting the innovation; tend to be opinion leaders who influence others’ decisions)</w:t>
            </w:r>
          </w:p>
          <w:p w14:paraId="17BEB47D" w14:textId="77777777" w:rsidR="008F392B" w:rsidRDefault="000D3C0D">
            <w:pPr>
              <w:numPr>
                <w:ilvl w:val="0"/>
                <w:numId w:val="1"/>
              </w:numPr>
              <w:spacing w:after="0"/>
              <w:ind w:left="295" w:hanging="295"/>
              <w:contextualSpacing/>
            </w:pPr>
            <w:r>
              <w:rPr>
                <w:sz w:val="20"/>
                <w:szCs w:val="20"/>
              </w:rPr>
              <w:t>Early majority (adopt new ideas before the average person; typically need to see e</w:t>
            </w:r>
            <w:r>
              <w:rPr>
                <w:sz w:val="20"/>
                <w:szCs w:val="20"/>
              </w:rPr>
              <w:t>vidence first that the innovation works)</w:t>
            </w:r>
          </w:p>
          <w:p w14:paraId="17BEB47E" w14:textId="77777777" w:rsidR="008F392B" w:rsidRDefault="000D3C0D">
            <w:pPr>
              <w:numPr>
                <w:ilvl w:val="0"/>
                <w:numId w:val="1"/>
              </w:numPr>
              <w:spacing w:after="0"/>
              <w:ind w:left="295" w:hanging="295"/>
              <w:contextualSpacing/>
            </w:pPr>
            <w:r>
              <w:rPr>
                <w:sz w:val="20"/>
                <w:szCs w:val="20"/>
              </w:rPr>
              <w:t>Late majority (skeptical of change and will adopt an innovation only after the majority has tried it)</w:t>
            </w:r>
          </w:p>
          <w:p w14:paraId="17BEB47F" w14:textId="77777777" w:rsidR="008F392B" w:rsidRDefault="000D3C0D">
            <w:pPr>
              <w:numPr>
                <w:ilvl w:val="0"/>
                <w:numId w:val="1"/>
              </w:numPr>
              <w:spacing w:after="0"/>
              <w:ind w:left="295" w:hanging="295"/>
              <w:contextualSpacing/>
              <w:rPr>
                <w:sz w:val="20"/>
                <w:szCs w:val="20"/>
              </w:rPr>
            </w:pPr>
            <w:r>
              <w:rPr>
                <w:sz w:val="20"/>
                <w:szCs w:val="20"/>
              </w:rPr>
              <w:t xml:space="preserve">Laggards (very skeptical; hardest group to persuade) </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7BEB480" w14:textId="77777777" w:rsidR="008F392B" w:rsidRDefault="000D3C0D">
            <w:pPr>
              <w:spacing w:after="0"/>
              <w:rPr>
                <w:sz w:val="20"/>
                <w:szCs w:val="20"/>
              </w:rPr>
            </w:pPr>
            <w:r>
              <w:rPr>
                <w:sz w:val="20"/>
                <w:szCs w:val="20"/>
              </w:rPr>
              <w:t>By identifying who the five types of adopters are among you</w:t>
            </w:r>
            <w:r>
              <w:rPr>
                <w:sz w:val="20"/>
                <w:szCs w:val="20"/>
              </w:rPr>
              <w:t xml:space="preserve">r KM intervention’s intended audience, you can then apply different strategies for reaching each segment. For example, your intervention may focus on recruiting opinion leaders to persuade the “early majority” to adopt your KM intervention. </w:t>
            </w:r>
          </w:p>
        </w:tc>
      </w:tr>
      <w:tr w:rsidR="008F392B" w14:paraId="17BEB48D" w14:textId="77777777">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14:paraId="17BEB482" w14:textId="77777777" w:rsidR="008F392B" w:rsidRDefault="000D3C0D">
            <w:pPr>
              <w:spacing w:after="0"/>
              <w:rPr>
                <w:sz w:val="20"/>
                <w:szCs w:val="20"/>
              </w:rPr>
            </w:pPr>
            <w:r>
              <w:rPr>
                <w:sz w:val="20"/>
                <w:szCs w:val="20"/>
              </w:rPr>
              <w:lastRenderedPageBreak/>
              <w:t>Ideation</w:t>
            </w:r>
            <w:r>
              <w:rPr>
                <w:sz w:val="20"/>
                <w:szCs w:val="20"/>
                <w:vertAlign w:val="superscript"/>
              </w:rPr>
              <w:t>7</w:t>
            </w:r>
          </w:p>
          <w:p w14:paraId="17BEB483" w14:textId="77777777" w:rsidR="008F392B" w:rsidRDefault="008F392B">
            <w:pPr>
              <w:spacing w:after="0"/>
              <w:rPr>
                <w:sz w:val="20"/>
                <w:szCs w:val="20"/>
              </w:rPr>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84" w14:textId="77777777" w:rsidR="008F392B" w:rsidRDefault="000D3C0D">
            <w:pPr>
              <w:spacing w:after="0"/>
              <w:rPr>
                <w:sz w:val="20"/>
                <w:szCs w:val="20"/>
              </w:rPr>
            </w:pPr>
            <w:r>
              <w:rPr>
                <w:sz w:val="20"/>
                <w:szCs w:val="20"/>
              </w:rPr>
              <w:t>Diffusion of new ways of thinking or new behaviors through communication and social interaction</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85" w14:textId="77777777" w:rsidR="008F392B" w:rsidRDefault="000D3C0D">
            <w:pPr>
              <w:spacing w:after="0"/>
            </w:pPr>
            <w:r>
              <w:rPr>
                <w:sz w:val="20"/>
                <w:szCs w:val="20"/>
              </w:rPr>
              <w:t>The likelihood of adopting a new behavior is higher when someone:</w:t>
            </w:r>
          </w:p>
          <w:p w14:paraId="17BEB486" w14:textId="77777777" w:rsidR="008F392B" w:rsidRDefault="000D3C0D">
            <w:pPr>
              <w:numPr>
                <w:ilvl w:val="0"/>
                <w:numId w:val="1"/>
              </w:numPr>
              <w:spacing w:after="0"/>
              <w:ind w:left="295" w:hanging="295"/>
              <w:contextualSpacing/>
              <w:rPr>
                <w:sz w:val="20"/>
                <w:szCs w:val="20"/>
              </w:rPr>
            </w:pPr>
            <w:r>
              <w:rPr>
                <w:sz w:val="20"/>
                <w:szCs w:val="20"/>
              </w:rPr>
              <w:t>Has gained sufficient knowledge and skills about it</w:t>
            </w:r>
          </w:p>
          <w:p w14:paraId="17BEB487" w14:textId="77777777" w:rsidR="008F392B" w:rsidRDefault="000D3C0D">
            <w:pPr>
              <w:numPr>
                <w:ilvl w:val="0"/>
                <w:numId w:val="1"/>
              </w:numPr>
              <w:spacing w:after="0"/>
              <w:ind w:left="295" w:hanging="295"/>
              <w:contextualSpacing/>
              <w:rPr>
                <w:sz w:val="20"/>
                <w:szCs w:val="20"/>
              </w:rPr>
            </w:pPr>
            <w:r>
              <w:rPr>
                <w:sz w:val="20"/>
                <w:szCs w:val="20"/>
              </w:rPr>
              <w:t>Has developed a positive attitude toward i</w:t>
            </w:r>
            <w:r>
              <w:rPr>
                <w:sz w:val="20"/>
                <w:szCs w:val="20"/>
              </w:rPr>
              <w:t>t</w:t>
            </w:r>
          </w:p>
          <w:p w14:paraId="17BEB488" w14:textId="77777777" w:rsidR="008F392B" w:rsidRDefault="000D3C0D">
            <w:pPr>
              <w:numPr>
                <w:ilvl w:val="0"/>
                <w:numId w:val="1"/>
              </w:numPr>
              <w:spacing w:after="0"/>
              <w:ind w:left="295" w:hanging="295"/>
              <w:contextualSpacing/>
              <w:rPr>
                <w:sz w:val="20"/>
                <w:szCs w:val="20"/>
              </w:rPr>
            </w:pPr>
            <w:r>
              <w:rPr>
                <w:sz w:val="20"/>
                <w:szCs w:val="20"/>
              </w:rPr>
              <w:t>Thinks others support and practice it</w:t>
            </w:r>
          </w:p>
          <w:p w14:paraId="17BEB489" w14:textId="77777777" w:rsidR="008F392B" w:rsidRDefault="000D3C0D">
            <w:pPr>
              <w:numPr>
                <w:ilvl w:val="0"/>
                <w:numId w:val="1"/>
              </w:numPr>
              <w:spacing w:after="0"/>
              <w:ind w:left="295" w:hanging="295"/>
              <w:contextualSpacing/>
              <w:rPr>
                <w:sz w:val="20"/>
                <w:szCs w:val="20"/>
              </w:rPr>
            </w:pPr>
            <w:r>
              <w:rPr>
                <w:sz w:val="20"/>
                <w:szCs w:val="20"/>
              </w:rPr>
              <w:t>Has talked to others about it</w:t>
            </w:r>
          </w:p>
          <w:p w14:paraId="17BEB48A" w14:textId="77777777" w:rsidR="008F392B" w:rsidRDefault="000D3C0D">
            <w:pPr>
              <w:numPr>
                <w:ilvl w:val="0"/>
                <w:numId w:val="1"/>
              </w:numPr>
              <w:spacing w:after="0"/>
              <w:ind w:left="295" w:hanging="295"/>
              <w:contextualSpacing/>
              <w:rPr>
                <w:sz w:val="20"/>
                <w:szCs w:val="20"/>
              </w:rPr>
            </w:pPr>
            <w:r>
              <w:rPr>
                <w:sz w:val="20"/>
                <w:szCs w:val="20"/>
              </w:rPr>
              <w:t>Feels good about doing it</w:t>
            </w:r>
          </w:p>
          <w:p w14:paraId="17BEB48B" w14:textId="77777777" w:rsidR="008F392B" w:rsidRDefault="000D3C0D">
            <w:pPr>
              <w:spacing w:after="0"/>
              <w:rPr>
                <w:sz w:val="20"/>
                <w:szCs w:val="20"/>
              </w:rPr>
            </w:pPr>
            <w:r>
              <w:rPr>
                <w:sz w:val="20"/>
                <w:szCs w:val="20"/>
              </w:rPr>
              <w:t xml:space="preserve">Programs can select which communication strategies to emphasize based on which factors are the strongest predictors of behavior in their given context. </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7BEB48C" w14:textId="77777777" w:rsidR="008F392B" w:rsidRDefault="000D3C0D">
            <w:pPr>
              <w:spacing w:after="0"/>
              <w:rPr>
                <w:sz w:val="20"/>
                <w:szCs w:val="20"/>
              </w:rPr>
            </w:pPr>
            <w:r>
              <w:rPr>
                <w:sz w:val="20"/>
                <w:szCs w:val="20"/>
              </w:rPr>
              <w:t>When designing your KM intervention, consider which factors prevent or facilitate your audiences’ adopt</w:t>
            </w:r>
            <w:r>
              <w:rPr>
                <w:sz w:val="20"/>
                <w:szCs w:val="20"/>
              </w:rPr>
              <w:t>ion of the behavior you want to promote. For example, are they lacking up-to-date knowledge and could thus benefit from on-the-job training or regular workshops? Or perhaps they have the necessary knowledge but think their supervisors are unsupportive of t</w:t>
            </w:r>
            <w:r>
              <w:rPr>
                <w:sz w:val="20"/>
                <w:szCs w:val="20"/>
              </w:rPr>
              <w:t xml:space="preserve">he behavior? Having a solid understanding of these issues can help you select the most appropriate KM activities. </w:t>
            </w:r>
          </w:p>
        </w:tc>
      </w:tr>
      <w:tr w:rsidR="008F392B" w14:paraId="17BEB49A" w14:textId="77777777">
        <w:trPr>
          <w:trHeight w:val="1780"/>
          <w:jc w:val="center"/>
        </w:trPr>
        <w:tc>
          <w:tcPr>
            <w:tcW w:w="1305" w:type="dxa"/>
            <w:tcBorders>
              <w:top w:val="single" w:sz="8" w:space="0" w:color="000000"/>
              <w:left w:val="single" w:sz="8" w:space="0" w:color="000000"/>
              <w:bottom w:val="single" w:sz="8" w:space="0" w:color="000000"/>
            </w:tcBorders>
            <w:shd w:val="clear" w:color="auto" w:fill="FDE9D9"/>
            <w:tcMar>
              <w:top w:w="100" w:type="dxa"/>
              <w:left w:w="100" w:type="dxa"/>
              <w:bottom w:w="100" w:type="dxa"/>
              <w:right w:w="100" w:type="dxa"/>
            </w:tcMar>
          </w:tcPr>
          <w:p w14:paraId="17BEB48E" w14:textId="77777777" w:rsidR="008F392B" w:rsidRDefault="000D3C0D">
            <w:pPr>
              <w:spacing w:after="0"/>
              <w:rPr>
                <w:sz w:val="20"/>
                <w:szCs w:val="20"/>
              </w:rPr>
            </w:pPr>
            <w:r>
              <w:rPr>
                <w:sz w:val="20"/>
                <w:szCs w:val="20"/>
              </w:rPr>
              <w:t>Stages of change</w:t>
            </w:r>
            <w:r>
              <w:rPr>
                <w:sz w:val="20"/>
                <w:szCs w:val="20"/>
                <w:vertAlign w:val="superscript"/>
              </w:rPr>
              <w:t>8</w:t>
            </w:r>
            <w:r>
              <w:rPr>
                <w:sz w:val="20"/>
                <w:szCs w:val="20"/>
              </w:rPr>
              <w:t xml:space="preserve"> </w:t>
            </w:r>
          </w:p>
          <w:p w14:paraId="17BEB48F" w14:textId="77777777" w:rsidR="008F392B" w:rsidRDefault="008F392B">
            <w:pPr>
              <w:spacing w:after="0"/>
              <w:rPr>
                <w:sz w:val="20"/>
                <w:szCs w:val="20"/>
              </w:rPr>
            </w:pPr>
          </w:p>
          <w:p w14:paraId="17BEB490" w14:textId="77777777" w:rsidR="008F392B" w:rsidRDefault="008F392B">
            <w:pPr>
              <w:spacing w:after="0"/>
            </w:pPr>
          </w:p>
        </w:tc>
        <w:tc>
          <w:tcPr>
            <w:tcW w:w="1530"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91" w14:textId="77777777" w:rsidR="008F392B" w:rsidRDefault="000D3C0D">
            <w:pPr>
              <w:spacing w:after="0"/>
            </w:pPr>
            <w:r>
              <w:rPr>
                <w:sz w:val="20"/>
                <w:szCs w:val="20"/>
              </w:rPr>
              <w:t>Individual motivation or readiness to change behavior</w:t>
            </w:r>
          </w:p>
        </w:tc>
        <w:tc>
          <w:tcPr>
            <w:tcW w:w="3995" w:type="dxa"/>
            <w:tcBorders>
              <w:top w:val="single" w:sz="8" w:space="0" w:color="000000"/>
              <w:bottom w:val="single" w:sz="8" w:space="0" w:color="000000"/>
            </w:tcBorders>
            <w:shd w:val="clear" w:color="auto" w:fill="FDE9D9"/>
            <w:tcMar>
              <w:top w:w="100" w:type="dxa"/>
              <w:left w:w="100" w:type="dxa"/>
              <w:bottom w:w="100" w:type="dxa"/>
              <w:right w:w="100" w:type="dxa"/>
            </w:tcMar>
          </w:tcPr>
          <w:p w14:paraId="17BEB492" w14:textId="77777777" w:rsidR="008F392B" w:rsidRDefault="000D3C0D">
            <w:pPr>
              <w:spacing w:after="0"/>
              <w:rPr>
                <w:sz w:val="20"/>
                <w:szCs w:val="20"/>
              </w:rPr>
            </w:pPr>
            <w:r>
              <w:rPr>
                <w:sz w:val="20"/>
                <w:szCs w:val="20"/>
              </w:rPr>
              <w:t xml:space="preserve">People move through five stages when adopting new behaviors: </w:t>
            </w:r>
          </w:p>
          <w:p w14:paraId="17BEB493" w14:textId="77777777" w:rsidR="008F392B" w:rsidRDefault="000D3C0D">
            <w:pPr>
              <w:numPr>
                <w:ilvl w:val="0"/>
                <w:numId w:val="1"/>
              </w:numPr>
              <w:spacing w:after="0"/>
              <w:ind w:left="295" w:hanging="295"/>
              <w:contextualSpacing/>
            </w:pPr>
            <w:r>
              <w:rPr>
                <w:sz w:val="20"/>
                <w:szCs w:val="20"/>
              </w:rPr>
              <w:t>Precontemplation (unaware of the problem)</w:t>
            </w:r>
          </w:p>
          <w:p w14:paraId="17BEB494" w14:textId="77777777" w:rsidR="008F392B" w:rsidRDefault="000D3C0D">
            <w:pPr>
              <w:numPr>
                <w:ilvl w:val="0"/>
                <w:numId w:val="1"/>
              </w:numPr>
              <w:spacing w:after="0"/>
              <w:ind w:left="295" w:hanging="295"/>
              <w:contextualSpacing/>
            </w:pPr>
            <w:r>
              <w:rPr>
                <w:sz w:val="20"/>
                <w:szCs w:val="20"/>
              </w:rPr>
              <w:t>Contemplation (aware)</w:t>
            </w:r>
          </w:p>
          <w:p w14:paraId="17BEB495" w14:textId="77777777" w:rsidR="008F392B" w:rsidRDefault="000D3C0D">
            <w:pPr>
              <w:numPr>
                <w:ilvl w:val="0"/>
                <w:numId w:val="1"/>
              </w:numPr>
              <w:spacing w:after="0"/>
              <w:ind w:left="295" w:hanging="295"/>
              <w:contextualSpacing/>
            </w:pPr>
            <w:r>
              <w:rPr>
                <w:sz w:val="20"/>
                <w:szCs w:val="20"/>
              </w:rPr>
              <w:t>Decision (intends to take action)</w:t>
            </w:r>
          </w:p>
          <w:p w14:paraId="17BEB496" w14:textId="77777777" w:rsidR="008F392B" w:rsidRDefault="000D3C0D">
            <w:pPr>
              <w:numPr>
                <w:ilvl w:val="0"/>
                <w:numId w:val="1"/>
              </w:numPr>
              <w:spacing w:after="0"/>
              <w:ind w:left="295" w:hanging="295"/>
              <w:contextualSpacing/>
            </w:pPr>
            <w:r>
              <w:rPr>
                <w:sz w:val="20"/>
                <w:szCs w:val="20"/>
              </w:rPr>
              <w:t>Action (practices the desired behavior)</w:t>
            </w:r>
          </w:p>
          <w:p w14:paraId="17BEB497" w14:textId="77777777" w:rsidR="008F392B" w:rsidRDefault="000D3C0D">
            <w:pPr>
              <w:numPr>
                <w:ilvl w:val="0"/>
                <w:numId w:val="1"/>
              </w:numPr>
              <w:spacing w:after="0"/>
              <w:ind w:left="295" w:hanging="295"/>
              <w:contextualSpacing/>
            </w:pPr>
            <w:r>
              <w:rPr>
                <w:sz w:val="20"/>
                <w:szCs w:val="20"/>
              </w:rPr>
              <w:t>Maintenance (works to sustain the behavior change)</w:t>
            </w:r>
          </w:p>
          <w:p w14:paraId="17BEB498" w14:textId="77777777" w:rsidR="008F392B" w:rsidRDefault="000D3C0D">
            <w:pPr>
              <w:spacing w:after="0"/>
            </w:pPr>
            <w:r>
              <w:rPr>
                <w:sz w:val="20"/>
                <w:szCs w:val="20"/>
              </w:rPr>
              <w:t>Peopl</w:t>
            </w:r>
            <w:r>
              <w:rPr>
                <w:sz w:val="20"/>
                <w:szCs w:val="20"/>
              </w:rPr>
              <w:t>e can benefit from different interventions, matched to their stage of change, to make the desired behavior change.</w:t>
            </w:r>
          </w:p>
        </w:tc>
        <w:tc>
          <w:tcPr>
            <w:tcW w:w="3600" w:type="dxa"/>
            <w:tcBorders>
              <w:top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17BEB499" w14:textId="77777777" w:rsidR="008F392B" w:rsidRDefault="000D3C0D">
            <w:pPr>
              <w:spacing w:after="0"/>
            </w:pPr>
            <w:r>
              <w:rPr>
                <w:sz w:val="20"/>
                <w:szCs w:val="20"/>
              </w:rPr>
              <w:t>Identifying your audience’s current stage of behavior can help you select appropriate KM tools to move the audience from its current stage to</w:t>
            </w:r>
            <w:r>
              <w:rPr>
                <w:sz w:val="20"/>
                <w:szCs w:val="20"/>
              </w:rPr>
              <w:t xml:space="preserve"> the next—for example, a job aid to help providers in the “decision” stage move to the “action” stage. Knowing your audience’s current stage can also help you set realistic objectives—for instance, it is unrealistic to expect an audience who has never hear</w:t>
            </w:r>
            <w:r>
              <w:rPr>
                <w:sz w:val="20"/>
                <w:szCs w:val="20"/>
              </w:rPr>
              <w:t>d of the problem to make changes immediately.</w:t>
            </w:r>
          </w:p>
        </w:tc>
      </w:tr>
    </w:tbl>
    <w:p w14:paraId="17BEB4A0" w14:textId="77777777" w:rsidR="008F392B" w:rsidRDefault="008F392B"/>
    <w:sectPr w:rsidR="008F392B">
      <w:headerReference w:type="default" r:id="rId7"/>
      <w:footerReference w:type="default" r:id="rId8"/>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EB4A6" w14:textId="77777777" w:rsidR="00000000" w:rsidRDefault="000D3C0D">
      <w:pPr>
        <w:spacing w:after="0" w:line="240" w:lineRule="auto"/>
      </w:pPr>
      <w:r>
        <w:separator/>
      </w:r>
    </w:p>
  </w:endnote>
  <w:endnote w:type="continuationSeparator" w:id="0">
    <w:p w14:paraId="17BEB4A8" w14:textId="77777777" w:rsidR="00000000" w:rsidRDefault="000D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4E8DA" w14:textId="1C3FAE34" w:rsidR="000D3C0D" w:rsidRPr="000D3C0D" w:rsidRDefault="000D3C0D" w:rsidP="000D3C0D">
    <w:pPr>
      <w:pStyle w:val="NormalWeb"/>
      <w:spacing w:before="0" w:beforeAutospacing="0" w:after="0" w:afterAutospacing="0"/>
      <w:rPr>
        <w:rFonts w:ascii="Arial" w:hAnsi="Arial" w:cs="Arial"/>
        <w:sz w:val="16"/>
        <w:szCs w:val="16"/>
      </w:rPr>
    </w:pPr>
    <w:r w:rsidRPr="00B543D1">
      <w:rPr>
        <w:rFonts w:ascii="Arial" w:hAnsi="Arial" w:cs="Arial"/>
        <w:i/>
        <w:iCs/>
        <w:color w:val="000000"/>
        <w:sz w:val="16"/>
        <w:szCs w:val="16"/>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B543D1">
      <w:rPr>
        <w:rFonts w:ascii="Arial" w:hAnsi="Arial" w:cs="Arial"/>
        <w:i/>
        <w:iCs/>
        <w:color w:val="000000"/>
        <w:sz w:val="16"/>
        <w:szCs w:val="16"/>
      </w:rPr>
      <w:t>Amref</w:t>
    </w:r>
    <w:proofErr w:type="spellEnd"/>
    <w:r w:rsidRPr="00B543D1">
      <w:rPr>
        <w:rFonts w:ascii="Arial" w:hAnsi="Arial" w:cs="Arial"/>
        <w:i/>
        <w:iCs/>
        <w:color w:val="000000"/>
        <w:sz w:val="16"/>
        <w:szCs w:val="16"/>
      </w:rPr>
      <w:t xml:space="preserve"> Health Africa,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Center for Behavioral Economics (</w:t>
    </w:r>
    <w:proofErr w:type="spellStart"/>
    <w:r w:rsidRPr="00B543D1">
      <w:rPr>
        <w:rFonts w:ascii="Arial" w:hAnsi="Arial" w:cs="Arial"/>
        <w:i/>
        <w:iCs/>
        <w:color w:val="000000"/>
        <w:sz w:val="16"/>
        <w:szCs w:val="16"/>
      </w:rPr>
      <w:t>Busara</w:t>
    </w:r>
    <w:proofErr w:type="spellEnd"/>
    <w:r w:rsidRPr="00B543D1">
      <w:rPr>
        <w:rFonts w:ascii="Arial" w:hAnsi="Arial" w:cs="Arial"/>
        <w:i/>
        <w:iCs/>
        <w:color w:val="000000"/>
        <w:sz w:val="16"/>
        <w:szCs w:val="16"/>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B543D1">
        <w:rPr>
          <w:rStyle w:val="Hyperlink"/>
          <w:rFonts w:ascii="Arial" w:hAnsi="Arial" w:cs="Arial"/>
          <w:i/>
          <w:iCs/>
          <w:color w:val="1155CC"/>
          <w:sz w:val="16"/>
          <w:szCs w:val="16"/>
        </w:rPr>
        <w:t>www.kmtraining.org</w:t>
      </w:r>
    </w:hyperlink>
    <w:r w:rsidRPr="00B543D1">
      <w:rPr>
        <w:rFonts w:ascii="Arial" w:hAnsi="Arial" w:cs="Arial"/>
        <w:i/>
        <w:iCs/>
        <w:color w:val="000000"/>
        <w:sz w:val="16"/>
        <w:szCs w:val="16"/>
      </w:rPr>
      <w:t>.</w:t>
    </w:r>
  </w:p>
  <w:p w14:paraId="3E532817" w14:textId="77777777" w:rsidR="000D3C0D" w:rsidRDefault="000D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EB4A2" w14:textId="77777777" w:rsidR="00000000" w:rsidRDefault="000D3C0D">
      <w:pPr>
        <w:spacing w:after="0" w:line="240" w:lineRule="auto"/>
      </w:pPr>
      <w:r>
        <w:separator/>
      </w:r>
    </w:p>
  </w:footnote>
  <w:footnote w:type="continuationSeparator" w:id="0">
    <w:p w14:paraId="17BEB4A4" w14:textId="77777777" w:rsidR="00000000" w:rsidRDefault="000D3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B4A1" w14:textId="77777777" w:rsidR="008F392B" w:rsidRDefault="000D3C0D">
    <w:pPr>
      <w:ind w:hanging="900"/>
    </w:pPr>
    <w:r>
      <w:rPr>
        <w:noProof/>
      </w:rPr>
      <w:drawing>
        <wp:inline distT="114300" distB="114300" distL="114300" distR="114300" wp14:anchorId="17BEB4A2" wp14:editId="17BEB4A3">
          <wp:extent cx="3812177" cy="490538"/>
          <wp:effectExtent l="0" t="0" r="0" b="0"/>
          <wp:docPr id="1" name="image2.png" descr="headerKM.png"/>
          <wp:cNvGraphicFramePr/>
          <a:graphic xmlns:a="http://schemas.openxmlformats.org/drawingml/2006/main">
            <a:graphicData uri="http://schemas.openxmlformats.org/drawingml/2006/picture">
              <pic:pic xmlns:pic="http://schemas.openxmlformats.org/drawingml/2006/picture">
                <pic:nvPicPr>
                  <pic:cNvPr id="0" name="image2.png" descr="headerKM.png"/>
                  <pic:cNvPicPr preferRelativeResize="0"/>
                </pic:nvPicPr>
                <pic:blipFill>
                  <a:blip r:embed="rId1"/>
                  <a:srcRect/>
                  <a:stretch>
                    <a:fillRect/>
                  </a:stretch>
                </pic:blipFill>
                <pic:spPr>
                  <a:xfrm>
                    <a:off x="0" y="0"/>
                    <a:ext cx="3812177" cy="4905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B5050"/>
    <w:multiLevelType w:val="multilevel"/>
    <w:tmpl w:val="BAD8A46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51777EC4"/>
    <w:multiLevelType w:val="multilevel"/>
    <w:tmpl w:val="D6006D8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F392B"/>
    <w:rsid w:val="000D3C0D"/>
    <w:rsid w:val="008F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B464"/>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D3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C0D"/>
  </w:style>
  <w:style w:type="paragraph" w:styleId="Footer">
    <w:name w:val="footer"/>
    <w:basedOn w:val="Normal"/>
    <w:link w:val="FooterChar"/>
    <w:uiPriority w:val="99"/>
    <w:unhideWhenUsed/>
    <w:rsid w:val="000D3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C0D"/>
  </w:style>
  <w:style w:type="paragraph" w:styleId="NormalWeb">
    <w:name w:val="Normal (Web)"/>
    <w:basedOn w:val="Normal"/>
    <w:uiPriority w:val="99"/>
    <w:unhideWhenUsed/>
    <w:rsid w:val="000D3C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0D3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604</Words>
  <Characters>3446</Characters>
  <Application>Microsoft Office Word</Application>
  <DocSecurity>0</DocSecurity>
  <Lines>28</Lines>
  <Paragraphs>8</Paragraphs>
  <ScaleCrop>false</ScaleCrop>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Sean Stewart</cp:lastModifiedBy>
  <cp:revision>2</cp:revision>
  <dcterms:created xsi:type="dcterms:W3CDTF">2021-07-14T17:57:00Z</dcterms:created>
  <dcterms:modified xsi:type="dcterms:W3CDTF">2021-07-14T18:11:00Z</dcterms:modified>
</cp:coreProperties>
</file>