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3F17D" w14:textId="26452FB7" w:rsidR="00F24050" w:rsidRPr="004A7933" w:rsidRDefault="00F24050" w:rsidP="00F24050">
      <w:pPr>
        <w:pStyle w:val="Heading1"/>
        <w:rPr>
          <w:rFonts w:ascii="Calibri" w:hAnsi="Calibri"/>
          <w:sz w:val="22"/>
          <w:szCs w:val="22"/>
        </w:rPr>
      </w:pPr>
      <w:bookmarkStart w:id="0" w:name="_Toc314070994"/>
      <w:bookmarkStart w:id="1" w:name="_Toc314075103"/>
      <w:r>
        <w:t>Sample eLearning Course Purpose Statement</w:t>
      </w:r>
      <w:bookmarkEnd w:id="0"/>
      <w:bookmarkEnd w:id="1"/>
      <w:r>
        <w:t>s and Learning Objectives</w:t>
      </w:r>
    </w:p>
    <w:p w14:paraId="586C0C95" w14:textId="442B8C97" w:rsidR="00F24050" w:rsidRPr="00F24050" w:rsidRDefault="00F24050" w:rsidP="00F24050">
      <w:pPr>
        <w:pStyle w:val="Heading3"/>
        <w:rPr>
          <w:b/>
          <w:i w:val="0"/>
          <w:sz w:val="28"/>
          <w:szCs w:val="26"/>
        </w:rPr>
      </w:pPr>
      <w:r w:rsidRPr="00F24050">
        <w:rPr>
          <w:b/>
          <w:i w:val="0"/>
          <w:sz w:val="28"/>
          <w:szCs w:val="26"/>
        </w:rPr>
        <w:t>Developing Purpose Statements</w:t>
      </w:r>
    </w:p>
    <w:p w14:paraId="3C046B2D" w14:textId="626A8F84" w:rsidR="00F24050" w:rsidRPr="00F24050" w:rsidRDefault="00F24050" w:rsidP="00F24050">
      <w:pPr>
        <w:pStyle w:val="Heading3"/>
        <w:rPr>
          <w:rFonts w:eastAsiaTheme="minorHAnsi" w:cstheme="minorBidi"/>
          <w:i w:val="0"/>
          <w:sz w:val="24"/>
          <w:szCs w:val="30"/>
        </w:rPr>
      </w:pPr>
      <w:r w:rsidRPr="00F24050">
        <w:rPr>
          <w:rFonts w:eastAsiaTheme="minorHAnsi" w:cstheme="minorBidi"/>
          <w:i w:val="0"/>
          <w:sz w:val="24"/>
          <w:szCs w:val="30"/>
        </w:rPr>
        <w:t xml:space="preserve">A </w:t>
      </w:r>
      <w:r w:rsidRPr="00F24050">
        <w:rPr>
          <w:rFonts w:eastAsiaTheme="minorHAnsi" w:cstheme="minorBidi"/>
          <w:b/>
          <w:i w:val="0"/>
          <w:sz w:val="24"/>
          <w:szCs w:val="30"/>
        </w:rPr>
        <w:t xml:space="preserve">Purpose Statement </w:t>
      </w:r>
      <w:r w:rsidRPr="00F24050">
        <w:rPr>
          <w:rFonts w:eastAsiaTheme="minorHAnsi" w:cstheme="minorBidi"/>
          <w:i w:val="0"/>
          <w:sz w:val="24"/>
          <w:szCs w:val="30"/>
        </w:rPr>
        <w:t xml:space="preserve">specifies the reason why </w:t>
      </w:r>
      <w:r>
        <w:rPr>
          <w:rFonts w:eastAsiaTheme="minorHAnsi" w:cstheme="minorBidi"/>
          <w:i w:val="0"/>
          <w:sz w:val="24"/>
          <w:szCs w:val="30"/>
        </w:rPr>
        <w:t>an eLearning</w:t>
      </w:r>
      <w:r w:rsidRPr="00F24050">
        <w:rPr>
          <w:rFonts w:eastAsiaTheme="minorHAnsi" w:cstheme="minorBidi"/>
          <w:i w:val="0"/>
          <w:sz w:val="24"/>
          <w:szCs w:val="30"/>
        </w:rPr>
        <w:t xml:space="preserve"> course is important to the learner from both a technical and programmatic perspective. It states in broad terms what learners should know by the end of the course. </w:t>
      </w:r>
    </w:p>
    <w:p w14:paraId="11503D14" w14:textId="77777777" w:rsidR="00F24050" w:rsidRPr="00F24050" w:rsidRDefault="00F24050" w:rsidP="00F24050">
      <w:pPr>
        <w:pStyle w:val="Heading3"/>
        <w:rPr>
          <w:rFonts w:eastAsiaTheme="minorHAnsi" w:cstheme="minorBidi"/>
          <w:i w:val="0"/>
          <w:sz w:val="24"/>
          <w:szCs w:val="30"/>
        </w:rPr>
      </w:pPr>
      <w:r w:rsidRPr="00F24050">
        <w:rPr>
          <w:rFonts w:eastAsiaTheme="minorHAnsi" w:cstheme="minorBidi"/>
          <w:i w:val="0"/>
          <w:sz w:val="24"/>
          <w:szCs w:val="30"/>
        </w:rPr>
        <w:t>When you write a Purpose Statement:</w:t>
      </w:r>
    </w:p>
    <w:p w14:paraId="4E43E0B0" w14:textId="7C606283" w:rsidR="00F24050" w:rsidRPr="00F24050" w:rsidRDefault="00F24050" w:rsidP="00F24050">
      <w:pPr>
        <w:pStyle w:val="Heading3"/>
        <w:numPr>
          <w:ilvl w:val="0"/>
          <w:numId w:val="5"/>
        </w:numPr>
        <w:rPr>
          <w:rFonts w:eastAsiaTheme="minorHAnsi" w:cstheme="minorBidi"/>
          <w:i w:val="0"/>
          <w:sz w:val="24"/>
          <w:szCs w:val="30"/>
        </w:rPr>
      </w:pPr>
      <w:r w:rsidRPr="00F24050">
        <w:rPr>
          <w:rFonts w:eastAsiaTheme="minorHAnsi" w:cstheme="minorBidi"/>
          <w:i w:val="0"/>
          <w:sz w:val="24"/>
          <w:szCs w:val="30"/>
        </w:rPr>
        <w:t xml:space="preserve">State the overarching rationale for the course. </w:t>
      </w:r>
    </w:p>
    <w:p w14:paraId="7940A7D6" w14:textId="3BD5EDC9" w:rsidR="00F24050" w:rsidRDefault="00F24050" w:rsidP="00F24050">
      <w:pPr>
        <w:pStyle w:val="Heading3"/>
        <w:numPr>
          <w:ilvl w:val="0"/>
          <w:numId w:val="5"/>
        </w:numPr>
        <w:rPr>
          <w:rFonts w:eastAsiaTheme="minorHAnsi" w:cstheme="minorBidi"/>
          <w:i w:val="0"/>
          <w:sz w:val="24"/>
          <w:szCs w:val="30"/>
        </w:rPr>
      </w:pPr>
      <w:r w:rsidRPr="00F24050">
        <w:rPr>
          <w:rFonts w:eastAsiaTheme="minorHAnsi" w:cstheme="minorBidi"/>
          <w:i w:val="0"/>
          <w:sz w:val="24"/>
          <w:szCs w:val="30"/>
        </w:rPr>
        <w:t>State what you want the learner to know as a result of taking the course.</w:t>
      </w:r>
    </w:p>
    <w:p w14:paraId="47445606" w14:textId="77777777" w:rsidR="00F24050" w:rsidRDefault="00F24050" w:rsidP="00F24050">
      <w:pPr>
        <w:pStyle w:val="Heading3"/>
        <w:rPr>
          <w:b/>
          <w:sz w:val="24"/>
          <w:lang w:val="fr-FR"/>
        </w:rPr>
      </w:pPr>
    </w:p>
    <w:p w14:paraId="33831BD5" w14:textId="657F1C42" w:rsidR="00F24050" w:rsidRPr="00F24050" w:rsidRDefault="00F24050" w:rsidP="00F24050">
      <w:pPr>
        <w:pStyle w:val="Heading3"/>
        <w:rPr>
          <w:b/>
          <w:sz w:val="24"/>
          <w:lang w:val="fr-FR"/>
        </w:rPr>
      </w:pPr>
      <w:proofErr w:type="spellStart"/>
      <w:r w:rsidRPr="00F24050">
        <w:rPr>
          <w:b/>
          <w:sz w:val="24"/>
          <w:lang w:val="fr-FR"/>
        </w:rPr>
        <w:t>Sample</w:t>
      </w:r>
      <w:proofErr w:type="spellEnd"/>
      <w:r w:rsidRPr="00F24050">
        <w:rPr>
          <w:b/>
          <w:sz w:val="24"/>
          <w:lang w:val="fr-FR"/>
        </w:rPr>
        <w:t xml:space="preserve"> </w:t>
      </w:r>
      <w:proofErr w:type="spellStart"/>
      <w:r w:rsidRPr="00F24050">
        <w:rPr>
          <w:b/>
          <w:sz w:val="24"/>
          <w:lang w:val="fr-FR"/>
        </w:rPr>
        <w:t>Purpose</w:t>
      </w:r>
      <w:proofErr w:type="spellEnd"/>
      <w:r w:rsidRPr="00F24050">
        <w:rPr>
          <w:b/>
          <w:sz w:val="24"/>
          <w:lang w:val="fr-FR"/>
        </w:rPr>
        <w:t xml:space="preserve"> </w:t>
      </w:r>
      <w:proofErr w:type="spellStart"/>
      <w:r w:rsidRPr="00F24050">
        <w:rPr>
          <w:b/>
          <w:sz w:val="24"/>
          <w:lang w:val="fr-FR"/>
        </w:rPr>
        <w:t>Statements</w:t>
      </w:r>
      <w:proofErr w:type="spellEnd"/>
    </w:p>
    <w:p w14:paraId="562FF0E8" w14:textId="026035EA" w:rsidR="00F24050" w:rsidRPr="00F24050" w:rsidRDefault="00F24050" w:rsidP="00F24050">
      <w:pPr>
        <w:pStyle w:val="Heading3"/>
        <w:rPr>
          <w:rFonts w:eastAsiaTheme="minorHAnsi" w:cstheme="minorBidi"/>
          <w:i w:val="0"/>
          <w:sz w:val="24"/>
          <w:szCs w:val="30"/>
        </w:rPr>
      </w:pPr>
      <w:r w:rsidRPr="00F24050">
        <w:rPr>
          <w:rFonts w:eastAsiaTheme="minorHAnsi" w:cstheme="minorBidi"/>
          <w:b/>
          <w:i w:val="0"/>
          <w:sz w:val="24"/>
          <w:szCs w:val="30"/>
        </w:rPr>
        <w:t xml:space="preserve">Purpose Statement from </w:t>
      </w:r>
      <w:r>
        <w:rPr>
          <w:rFonts w:eastAsiaTheme="minorHAnsi" w:cstheme="minorBidi"/>
          <w:b/>
          <w:i w:val="0"/>
          <w:sz w:val="24"/>
          <w:szCs w:val="30"/>
        </w:rPr>
        <w:t>a Malaria C</w:t>
      </w:r>
      <w:r w:rsidRPr="00F24050">
        <w:rPr>
          <w:rFonts w:eastAsiaTheme="minorHAnsi" w:cstheme="minorBidi"/>
          <w:b/>
          <w:i w:val="0"/>
          <w:sz w:val="24"/>
          <w:szCs w:val="30"/>
        </w:rPr>
        <w:t>ourse:</w:t>
      </w:r>
      <w:r w:rsidRPr="00F24050">
        <w:rPr>
          <w:rFonts w:eastAsiaTheme="minorHAnsi" w:cstheme="minorBidi"/>
          <w:i w:val="0"/>
          <w:sz w:val="24"/>
          <w:szCs w:val="30"/>
        </w:rPr>
        <w:t xml:space="preserve"> Malaria is a leading cause of illness and death in the developing world and a significant drag on economic development. This course will provide participants with basic knowledge about the burden of malaria and effective tools to both treat and prevent malaria, and discuss the challenges and opportunities for taking these interventions to scale.</w:t>
      </w:r>
    </w:p>
    <w:p w14:paraId="7DEB7D6C" w14:textId="0C6CEFCB" w:rsidR="00F24050" w:rsidRPr="00F24050" w:rsidRDefault="00F24050" w:rsidP="00F24050">
      <w:pPr>
        <w:pStyle w:val="Heading3"/>
        <w:rPr>
          <w:rFonts w:eastAsiaTheme="minorHAnsi" w:cstheme="minorBidi"/>
          <w:i w:val="0"/>
          <w:sz w:val="24"/>
          <w:szCs w:val="30"/>
        </w:rPr>
      </w:pPr>
      <w:r w:rsidRPr="00F24050">
        <w:rPr>
          <w:rFonts w:eastAsiaTheme="minorHAnsi" w:cstheme="minorBidi"/>
          <w:b/>
          <w:i w:val="0"/>
          <w:sz w:val="24"/>
          <w:szCs w:val="30"/>
        </w:rPr>
        <w:t xml:space="preserve">Purpose Statement from an Introduction to Early Childhood Development Course: </w:t>
      </w:r>
      <w:r w:rsidRPr="00F24050">
        <w:rPr>
          <w:rFonts w:eastAsiaTheme="minorHAnsi" w:cstheme="minorBidi"/>
          <w:i w:val="0"/>
          <w:sz w:val="24"/>
          <w:szCs w:val="30"/>
        </w:rPr>
        <w:t>200 million children globally are not meeting their developmental potential. Ensuring a strong beginning for children will enable them to live healthy, productive lives.</w:t>
      </w:r>
      <w:r>
        <w:rPr>
          <w:rFonts w:eastAsiaTheme="minorHAnsi" w:cstheme="minorBidi"/>
          <w:i w:val="0"/>
          <w:sz w:val="24"/>
          <w:szCs w:val="30"/>
        </w:rPr>
        <w:t xml:space="preserve"> </w:t>
      </w:r>
      <w:r w:rsidRPr="00F24050">
        <w:rPr>
          <w:rFonts w:eastAsiaTheme="minorHAnsi" w:cstheme="minorBidi"/>
          <w:i w:val="0"/>
          <w:sz w:val="24"/>
          <w:szCs w:val="30"/>
        </w:rPr>
        <w:t>Introduction to Early Childhood Development (ECD) will provide learners with an awareness of key early childhood development terms, concepts, and definitions. The course will explain how children develop, how HIV impacts the developmental trajectory of young children, and how, in the absence of intervention, children can suffer life-long consequences.</w:t>
      </w:r>
    </w:p>
    <w:p w14:paraId="2F5BAD52" w14:textId="1FFB44F6" w:rsidR="00F24050" w:rsidRDefault="00F24050" w:rsidP="00F24050">
      <w:pPr>
        <w:pStyle w:val="Heading3"/>
        <w:rPr>
          <w:rFonts w:eastAsiaTheme="minorHAnsi" w:cstheme="minorBidi"/>
          <w:i w:val="0"/>
          <w:sz w:val="24"/>
          <w:szCs w:val="30"/>
        </w:rPr>
      </w:pPr>
    </w:p>
    <w:p w14:paraId="0591454C" w14:textId="77777777" w:rsidR="009C769A" w:rsidRPr="009C769A" w:rsidRDefault="009C769A" w:rsidP="009C769A"/>
    <w:p w14:paraId="0C3449B0" w14:textId="26764A5F" w:rsidR="00F24050" w:rsidRDefault="00F24050" w:rsidP="00F24050">
      <w:pPr>
        <w:pStyle w:val="Heading3"/>
        <w:rPr>
          <w:b/>
          <w:i w:val="0"/>
          <w:sz w:val="28"/>
          <w:szCs w:val="26"/>
        </w:rPr>
      </w:pPr>
      <w:r>
        <w:rPr>
          <w:b/>
          <w:i w:val="0"/>
          <w:sz w:val="28"/>
          <w:szCs w:val="26"/>
        </w:rPr>
        <w:lastRenderedPageBreak/>
        <w:t>Developing Key Concepts</w:t>
      </w:r>
    </w:p>
    <w:p w14:paraId="5805655F" w14:textId="758DE9BB" w:rsidR="00F24050" w:rsidRPr="00F24050" w:rsidRDefault="00F24050" w:rsidP="00F24050">
      <w:pPr>
        <w:pStyle w:val="Heading3"/>
        <w:rPr>
          <w:rFonts w:eastAsiaTheme="minorHAnsi" w:cstheme="minorBidi"/>
          <w:i w:val="0"/>
          <w:sz w:val="24"/>
          <w:szCs w:val="30"/>
        </w:rPr>
      </w:pPr>
      <w:r w:rsidRPr="00F24050">
        <w:rPr>
          <w:rFonts w:eastAsiaTheme="minorHAnsi" w:cstheme="minorBidi"/>
          <w:b/>
          <w:i w:val="0"/>
          <w:sz w:val="24"/>
          <w:szCs w:val="30"/>
        </w:rPr>
        <w:t>Key Concepts</w:t>
      </w:r>
      <w:r w:rsidRPr="00F24050">
        <w:rPr>
          <w:rFonts w:eastAsiaTheme="minorHAnsi" w:cstheme="minorBidi"/>
          <w:i w:val="0"/>
          <w:sz w:val="24"/>
          <w:szCs w:val="30"/>
        </w:rPr>
        <w:t xml:space="preserve"> are wha</w:t>
      </w:r>
      <w:r>
        <w:rPr>
          <w:rFonts w:eastAsiaTheme="minorHAnsi" w:cstheme="minorBidi"/>
          <w:i w:val="0"/>
          <w:sz w:val="24"/>
          <w:szCs w:val="30"/>
        </w:rPr>
        <w:t>t the course authors consider</w:t>
      </w:r>
      <w:r w:rsidRPr="00F24050">
        <w:rPr>
          <w:rFonts w:eastAsiaTheme="minorHAnsi" w:cstheme="minorBidi"/>
          <w:i w:val="0"/>
          <w:sz w:val="24"/>
          <w:szCs w:val="30"/>
        </w:rPr>
        <w:t xml:space="preserve"> to be the most important technical or programmatic ideas or questions found in research, among experts, </w:t>
      </w:r>
      <w:r>
        <w:rPr>
          <w:rFonts w:eastAsiaTheme="minorHAnsi" w:cstheme="minorBidi"/>
          <w:i w:val="0"/>
          <w:sz w:val="24"/>
          <w:szCs w:val="30"/>
        </w:rPr>
        <w:t>or based on experience that he/s</w:t>
      </w:r>
      <w:r w:rsidRPr="00F24050">
        <w:rPr>
          <w:rFonts w:eastAsiaTheme="minorHAnsi" w:cstheme="minorBidi"/>
          <w:i w:val="0"/>
          <w:sz w:val="24"/>
          <w:szCs w:val="30"/>
        </w:rPr>
        <w:t xml:space="preserve">he wants to convey about subject matter within the course. </w:t>
      </w:r>
    </w:p>
    <w:p w14:paraId="6F9D4FDA" w14:textId="77777777" w:rsidR="00F24050" w:rsidRPr="00F24050" w:rsidRDefault="00F24050" w:rsidP="00F24050">
      <w:pPr>
        <w:pStyle w:val="Heading3"/>
        <w:rPr>
          <w:rFonts w:eastAsiaTheme="minorHAnsi" w:cstheme="minorBidi"/>
          <w:i w:val="0"/>
          <w:sz w:val="24"/>
          <w:szCs w:val="30"/>
        </w:rPr>
      </w:pPr>
      <w:r w:rsidRPr="00F24050">
        <w:rPr>
          <w:rFonts w:eastAsiaTheme="minorHAnsi" w:cstheme="minorBidi"/>
          <w:i w:val="0"/>
          <w:sz w:val="24"/>
          <w:szCs w:val="30"/>
        </w:rPr>
        <w:t>To identify key concepts for a course:</w:t>
      </w:r>
    </w:p>
    <w:p w14:paraId="010D4B72" w14:textId="54208759" w:rsidR="00F24050" w:rsidRPr="00F24050" w:rsidRDefault="00F24050" w:rsidP="00F24050">
      <w:pPr>
        <w:pStyle w:val="Heading3"/>
        <w:numPr>
          <w:ilvl w:val="0"/>
          <w:numId w:val="5"/>
        </w:numPr>
        <w:rPr>
          <w:rFonts w:eastAsiaTheme="minorHAnsi" w:cstheme="minorBidi"/>
          <w:i w:val="0"/>
          <w:sz w:val="24"/>
          <w:szCs w:val="30"/>
        </w:rPr>
      </w:pPr>
      <w:r w:rsidRPr="00F24050">
        <w:rPr>
          <w:rFonts w:eastAsiaTheme="minorHAnsi" w:cstheme="minorBidi"/>
          <w:i w:val="0"/>
          <w:sz w:val="24"/>
          <w:szCs w:val="30"/>
        </w:rPr>
        <w:t>Brainstorm with others what is considered appropriate content for the course. Then group the concepts into course sessions, progressing from less to more difficult content.</w:t>
      </w:r>
    </w:p>
    <w:p w14:paraId="788E125D" w14:textId="768B5635" w:rsidR="00F24050" w:rsidRPr="00F24050" w:rsidRDefault="00F24050" w:rsidP="00F24050">
      <w:pPr>
        <w:pStyle w:val="Heading3"/>
        <w:numPr>
          <w:ilvl w:val="0"/>
          <w:numId w:val="5"/>
        </w:numPr>
        <w:rPr>
          <w:rFonts w:eastAsiaTheme="minorHAnsi" w:cstheme="minorBidi"/>
          <w:i w:val="0"/>
          <w:sz w:val="24"/>
          <w:szCs w:val="30"/>
        </w:rPr>
      </w:pPr>
      <w:r w:rsidRPr="00F24050">
        <w:rPr>
          <w:rFonts w:eastAsiaTheme="minorHAnsi" w:cstheme="minorBidi"/>
          <w:i w:val="0"/>
          <w:sz w:val="24"/>
          <w:szCs w:val="30"/>
        </w:rPr>
        <w:t xml:space="preserve">Select the concepts that are: </w:t>
      </w:r>
      <w:r>
        <w:rPr>
          <w:rFonts w:eastAsiaTheme="minorHAnsi" w:cstheme="minorBidi"/>
          <w:i w:val="0"/>
          <w:sz w:val="24"/>
          <w:szCs w:val="30"/>
        </w:rPr>
        <w:t>(</w:t>
      </w:r>
      <w:r w:rsidRPr="00F24050">
        <w:rPr>
          <w:rFonts w:eastAsiaTheme="minorHAnsi" w:cstheme="minorBidi"/>
          <w:i w:val="0"/>
          <w:sz w:val="24"/>
          <w:szCs w:val="30"/>
        </w:rPr>
        <w:t>1) most timely, useful, a</w:t>
      </w:r>
      <w:r>
        <w:rPr>
          <w:rFonts w:eastAsiaTheme="minorHAnsi" w:cstheme="minorBidi"/>
          <w:i w:val="0"/>
          <w:sz w:val="24"/>
          <w:szCs w:val="30"/>
        </w:rPr>
        <w:t>nd appropriate for the audience;</w:t>
      </w:r>
      <w:r w:rsidRPr="00F24050">
        <w:rPr>
          <w:rFonts w:eastAsiaTheme="minorHAnsi" w:cstheme="minorBidi"/>
          <w:i w:val="0"/>
          <w:sz w:val="24"/>
          <w:szCs w:val="30"/>
        </w:rPr>
        <w:t xml:space="preserve"> </w:t>
      </w:r>
      <w:r>
        <w:rPr>
          <w:rFonts w:eastAsiaTheme="minorHAnsi" w:cstheme="minorBidi"/>
          <w:i w:val="0"/>
          <w:sz w:val="24"/>
          <w:szCs w:val="30"/>
        </w:rPr>
        <w:t>(</w:t>
      </w:r>
      <w:r w:rsidRPr="00F24050">
        <w:rPr>
          <w:rFonts w:eastAsiaTheme="minorHAnsi" w:cstheme="minorBidi"/>
          <w:i w:val="0"/>
          <w:sz w:val="24"/>
          <w:szCs w:val="30"/>
        </w:rPr>
        <w:t>2</w:t>
      </w:r>
      <w:r>
        <w:rPr>
          <w:rFonts w:eastAsiaTheme="minorHAnsi" w:cstheme="minorBidi"/>
          <w:i w:val="0"/>
          <w:sz w:val="24"/>
          <w:szCs w:val="30"/>
        </w:rPr>
        <w:t xml:space="preserve">) you have the time to present; </w:t>
      </w:r>
      <w:r w:rsidRPr="00F24050">
        <w:rPr>
          <w:rFonts w:eastAsiaTheme="minorHAnsi" w:cstheme="minorBidi"/>
          <w:i w:val="0"/>
          <w:sz w:val="24"/>
          <w:szCs w:val="30"/>
        </w:rPr>
        <w:t xml:space="preserve">and </w:t>
      </w:r>
      <w:r>
        <w:rPr>
          <w:rFonts w:eastAsiaTheme="minorHAnsi" w:cstheme="minorBidi"/>
          <w:i w:val="0"/>
          <w:sz w:val="24"/>
          <w:szCs w:val="30"/>
        </w:rPr>
        <w:t>(</w:t>
      </w:r>
      <w:r w:rsidRPr="00F24050">
        <w:rPr>
          <w:rFonts w:eastAsiaTheme="minorHAnsi" w:cstheme="minorBidi"/>
          <w:i w:val="0"/>
          <w:sz w:val="24"/>
          <w:szCs w:val="30"/>
        </w:rPr>
        <w:t>3) you have the resources to develop. A rule of thumb is to specify about 5 key concepts per session, and no more than 25 per course.</w:t>
      </w:r>
    </w:p>
    <w:p w14:paraId="6857DE2D" w14:textId="4CCAFBAE" w:rsidR="00F24050" w:rsidRPr="00F24050" w:rsidRDefault="00F24050" w:rsidP="00F24050">
      <w:pPr>
        <w:pStyle w:val="Heading3"/>
        <w:numPr>
          <w:ilvl w:val="0"/>
          <w:numId w:val="5"/>
        </w:numPr>
        <w:rPr>
          <w:rFonts w:eastAsiaTheme="minorHAnsi" w:cstheme="minorBidi"/>
          <w:i w:val="0"/>
          <w:sz w:val="24"/>
          <w:szCs w:val="30"/>
        </w:rPr>
      </w:pPr>
      <w:r w:rsidRPr="00F24050">
        <w:rPr>
          <w:rFonts w:eastAsiaTheme="minorHAnsi" w:cstheme="minorBidi"/>
          <w:i w:val="0"/>
          <w:sz w:val="24"/>
          <w:szCs w:val="30"/>
        </w:rPr>
        <w:t>Cluster these into common groupings.</w:t>
      </w:r>
    </w:p>
    <w:p w14:paraId="6C12C0AB" w14:textId="2C8A5F53" w:rsidR="00F24050" w:rsidRPr="00F24050" w:rsidRDefault="00F24050" w:rsidP="00F24050">
      <w:pPr>
        <w:pStyle w:val="Heading3"/>
        <w:numPr>
          <w:ilvl w:val="0"/>
          <w:numId w:val="5"/>
        </w:numPr>
        <w:rPr>
          <w:rFonts w:eastAsiaTheme="minorHAnsi" w:cstheme="minorBidi"/>
          <w:i w:val="0"/>
          <w:sz w:val="24"/>
          <w:szCs w:val="30"/>
        </w:rPr>
      </w:pPr>
      <w:r w:rsidRPr="00F24050">
        <w:rPr>
          <w:rFonts w:eastAsiaTheme="minorHAnsi" w:cstheme="minorBidi"/>
          <w:i w:val="0"/>
          <w:sz w:val="24"/>
          <w:szCs w:val="30"/>
        </w:rPr>
        <w:t>Give each cluster a label, that is, a Session Title that captures the overall focus of that session.</w:t>
      </w:r>
    </w:p>
    <w:p w14:paraId="5D93DA8D" w14:textId="77777777" w:rsidR="00F24050" w:rsidRPr="00F24050" w:rsidRDefault="00F24050" w:rsidP="00F24050"/>
    <w:p w14:paraId="2F3204C8" w14:textId="625349A6" w:rsidR="000F7AA9" w:rsidRPr="00F24050" w:rsidRDefault="00F24050" w:rsidP="00F24050">
      <w:pPr>
        <w:pStyle w:val="Heading3"/>
        <w:rPr>
          <w:b/>
          <w:sz w:val="24"/>
          <w:lang w:val="fr-FR"/>
        </w:rPr>
      </w:pPr>
      <w:proofErr w:type="spellStart"/>
      <w:r w:rsidRPr="00F24050">
        <w:rPr>
          <w:b/>
          <w:sz w:val="24"/>
          <w:lang w:val="fr-FR"/>
        </w:rPr>
        <w:t>Sample</w:t>
      </w:r>
      <w:proofErr w:type="spellEnd"/>
      <w:r w:rsidRPr="00F24050">
        <w:rPr>
          <w:b/>
          <w:sz w:val="24"/>
          <w:lang w:val="fr-FR"/>
        </w:rPr>
        <w:t xml:space="preserve"> Key Concepts</w:t>
      </w:r>
      <w:r>
        <w:rPr>
          <w:b/>
          <w:sz w:val="24"/>
          <w:lang w:val="fr-FR"/>
        </w:rPr>
        <w:t xml:space="preserve"> </w:t>
      </w:r>
      <w:proofErr w:type="spellStart"/>
      <w:r>
        <w:rPr>
          <w:b/>
          <w:sz w:val="24"/>
          <w:lang w:val="fr-FR"/>
        </w:rPr>
        <w:t>From</w:t>
      </w:r>
      <w:proofErr w:type="spellEnd"/>
      <w:r>
        <w:rPr>
          <w:b/>
          <w:sz w:val="24"/>
          <w:lang w:val="fr-FR"/>
        </w:rPr>
        <w:t xml:space="preserve"> the </w:t>
      </w:r>
      <w:proofErr w:type="spellStart"/>
      <w:r>
        <w:rPr>
          <w:b/>
          <w:sz w:val="24"/>
          <w:lang w:val="fr-FR"/>
        </w:rPr>
        <w:t>Tuberculosis</w:t>
      </w:r>
      <w:proofErr w:type="spellEnd"/>
      <w:r>
        <w:rPr>
          <w:b/>
          <w:sz w:val="24"/>
          <w:lang w:val="fr-FR"/>
        </w:rPr>
        <w:t xml:space="preserve"> Basics (</w:t>
      </w:r>
      <w:proofErr w:type="spellStart"/>
      <w:r>
        <w:rPr>
          <w:b/>
          <w:sz w:val="24"/>
          <w:lang w:val="fr-FR"/>
        </w:rPr>
        <w:t>U</w:t>
      </w:r>
      <w:r w:rsidRPr="00F24050">
        <w:rPr>
          <w:b/>
          <w:sz w:val="24"/>
          <w:lang w:val="fr-FR"/>
        </w:rPr>
        <w:t>pdated</w:t>
      </w:r>
      <w:proofErr w:type="spellEnd"/>
      <w:r w:rsidRPr="00F24050">
        <w:rPr>
          <w:b/>
          <w:sz w:val="24"/>
          <w:lang w:val="fr-FR"/>
        </w:rPr>
        <w:t>) Course</w:t>
      </w:r>
    </w:p>
    <w:p w14:paraId="2017DB71" w14:textId="4420BFA0" w:rsidR="00F24050" w:rsidRPr="00F24050" w:rsidRDefault="00F24050" w:rsidP="00F24050">
      <w:pPr>
        <w:rPr>
          <w:b/>
          <w:color w:val="auto"/>
        </w:rPr>
      </w:pPr>
      <w:r w:rsidRPr="00F24050">
        <w:rPr>
          <w:b/>
          <w:color w:val="auto"/>
        </w:rPr>
        <w:t>T</w:t>
      </w:r>
      <w:r>
        <w:rPr>
          <w:b/>
          <w:color w:val="auto"/>
        </w:rPr>
        <w:t>uberculosis (T</w:t>
      </w:r>
      <w:r w:rsidRPr="00F24050">
        <w:rPr>
          <w:b/>
          <w:color w:val="auto"/>
        </w:rPr>
        <w:t>B</w:t>
      </w:r>
      <w:r>
        <w:rPr>
          <w:b/>
          <w:color w:val="auto"/>
        </w:rPr>
        <w:t>)</w:t>
      </w:r>
      <w:r w:rsidRPr="00F24050">
        <w:rPr>
          <w:b/>
          <w:color w:val="auto"/>
        </w:rPr>
        <w:t xml:space="preserve"> Control &amp; Prevention: Goals and Strategies</w:t>
      </w:r>
    </w:p>
    <w:p w14:paraId="4E4A3AF8" w14:textId="445E0F8E" w:rsidR="00F24050" w:rsidRPr="00F24050" w:rsidRDefault="00F24050" w:rsidP="00F24050">
      <w:pPr>
        <w:pStyle w:val="ListParagraph"/>
        <w:numPr>
          <w:ilvl w:val="0"/>
          <w:numId w:val="6"/>
        </w:numPr>
        <w:rPr>
          <w:color w:val="auto"/>
        </w:rPr>
      </w:pPr>
      <w:r w:rsidRPr="00F24050">
        <w:rPr>
          <w:color w:val="auto"/>
        </w:rPr>
        <w:t>Global TB control targets are, by 2005, to diagnose at least 70% of people with sputum smear positive TB and cure at least 85%.</w:t>
      </w:r>
    </w:p>
    <w:p w14:paraId="10C5096C" w14:textId="5935F5AC" w:rsidR="00F24050" w:rsidRPr="00F24050" w:rsidRDefault="00F24050" w:rsidP="00F24050">
      <w:pPr>
        <w:pStyle w:val="ListParagraph"/>
        <w:numPr>
          <w:ilvl w:val="0"/>
          <w:numId w:val="6"/>
        </w:numPr>
        <w:rPr>
          <w:color w:val="auto"/>
        </w:rPr>
      </w:pPr>
      <w:r w:rsidRPr="00F24050">
        <w:rPr>
          <w:color w:val="auto"/>
        </w:rPr>
        <w:t>The World Health Organization defines treatment success rates as the sum of TB cases that were cured plus those cases that completed treatment (no laboratory confirmation of cure). So, overall treatment success rates are higher than the number of TB cases that were confirmed as cured.</w:t>
      </w:r>
    </w:p>
    <w:p w14:paraId="72073917" w14:textId="10AC0F4B" w:rsidR="00F24050" w:rsidRPr="00F24050" w:rsidRDefault="00F24050" w:rsidP="00F24050">
      <w:pPr>
        <w:pStyle w:val="ListParagraph"/>
        <w:numPr>
          <w:ilvl w:val="0"/>
          <w:numId w:val="6"/>
        </w:numPr>
        <w:rPr>
          <w:color w:val="auto"/>
        </w:rPr>
      </w:pPr>
      <w:r w:rsidRPr="00F24050">
        <w:rPr>
          <w:color w:val="auto"/>
        </w:rPr>
        <w:t>The best TB prevention and control measure is finding and successfully treating all cases of sputum smear positive (active) pulmonary TB. A focus on case finding among high risk groups facilitates case detection and earlier onset of treatment.</w:t>
      </w:r>
    </w:p>
    <w:p w14:paraId="2E6A1684" w14:textId="77777777" w:rsidR="00F24050" w:rsidRDefault="00F24050" w:rsidP="00F24050">
      <w:pPr>
        <w:pStyle w:val="ListParagraph"/>
        <w:numPr>
          <w:ilvl w:val="0"/>
          <w:numId w:val="6"/>
        </w:numPr>
        <w:rPr>
          <w:color w:val="auto"/>
        </w:rPr>
      </w:pPr>
      <w:r w:rsidRPr="00F24050">
        <w:rPr>
          <w:color w:val="auto"/>
        </w:rPr>
        <w:t>Expanding case finding is best done in programs that are achieving good cure rates. This approach minimizes the number of inadequately treated TB patients (who increase the pool of infectious cases) and the risk of drug resistance.</w:t>
      </w:r>
    </w:p>
    <w:p w14:paraId="518357CB" w14:textId="77777777" w:rsidR="00F24050" w:rsidRDefault="00F24050" w:rsidP="00F24050">
      <w:pPr>
        <w:rPr>
          <w:b/>
          <w:sz w:val="28"/>
          <w:szCs w:val="26"/>
        </w:rPr>
      </w:pPr>
    </w:p>
    <w:p w14:paraId="41BCF36C" w14:textId="36EEA1E4" w:rsidR="00F24050" w:rsidRPr="00F24050" w:rsidRDefault="00F24050" w:rsidP="00F24050">
      <w:pPr>
        <w:pStyle w:val="Heading3"/>
        <w:rPr>
          <w:b/>
          <w:i w:val="0"/>
          <w:sz w:val="28"/>
          <w:szCs w:val="26"/>
        </w:rPr>
      </w:pPr>
      <w:r w:rsidRPr="00F24050">
        <w:rPr>
          <w:b/>
          <w:i w:val="0"/>
          <w:sz w:val="28"/>
          <w:szCs w:val="26"/>
        </w:rPr>
        <w:lastRenderedPageBreak/>
        <w:t>Writing Course Objectives</w:t>
      </w:r>
    </w:p>
    <w:p w14:paraId="1D3442A8" w14:textId="77777777" w:rsidR="00F24050" w:rsidRPr="00F24050" w:rsidRDefault="00F24050" w:rsidP="00F24050">
      <w:pPr>
        <w:pStyle w:val="Heading3"/>
        <w:rPr>
          <w:rFonts w:eastAsiaTheme="minorHAnsi" w:cstheme="minorBidi"/>
          <w:i w:val="0"/>
          <w:sz w:val="24"/>
          <w:szCs w:val="30"/>
        </w:rPr>
      </w:pPr>
      <w:r w:rsidRPr="00F24050">
        <w:rPr>
          <w:rFonts w:eastAsiaTheme="minorHAnsi" w:cstheme="minorBidi"/>
          <w:i w:val="0"/>
          <w:sz w:val="24"/>
          <w:szCs w:val="30"/>
        </w:rPr>
        <w:t>There are two types of objectives to write for eLearning courses. Both types ultimately link back to the course’s purpose statement and key concepts. They also provide the foundation for writing test items for the knowledge check, knowledge recap, and final test in a course.</w:t>
      </w:r>
    </w:p>
    <w:p w14:paraId="5AA1DF57" w14:textId="67F51856" w:rsidR="00F24050" w:rsidRPr="00F24050" w:rsidRDefault="00F24050" w:rsidP="00F24050">
      <w:pPr>
        <w:pStyle w:val="Heading3"/>
        <w:rPr>
          <w:rFonts w:eastAsiaTheme="minorHAnsi" w:cstheme="minorBidi"/>
          <w:i w:val="0"/>
          <w:sz w:val="24"/>
          <w:szCs w:val="30"/>
        </w:rPr>
      </w:pPr>
      <w:r>
        <w:rPr>
          <w:rFonts w:eastAsiaTheme="minorHAnsi" w:cstheme="minorBidi"/>
          <w:b/>
          <w:i w:val="0"/>
          <w:sz w:val="24"/>
          <w:szCs w:val="30"/>
        </w:rPr>
        <w:t>High-</w:t>
      </w:r>
      <w:r w:rsidRPr="00F24050">
        <w:rPr>
          <w:rFonts w:eastAsiaTheme="minorHAnsi" w:cstheme="minorBidi"/>
          <w:b/>
          <w:i w:val="0"/>
          <w:sz w:val="24"/>
          <w:szCs w:val="30"/>
        </w:rPr>
        <w:t xml:space="preserve">Level Objectives. </w:t>
      </w:r>
      <w:r w:rsidRPr="00F24050">
        <w:rPr>
          <w:rFonts w:eastAsiaTheme="minorHAnsi" w:cstheme="minorBidi"/>
          <w:i w:val="0"/>
          <w:sz w:val="24"/>
          <w:szCs w:val="30"/>
        </w:rPr>
        <w:t>The first type of course objectives we use are called High</w:t>
      </w:r>
      <w:r>
        <w:rPr>
          <w:rFonts w:eastAsiaTheme="minorHAnsi" w:cstheme="minorBidi"/>
          <w:i w:val="0"/>
          <w:sz w:val="24"/>
          <w:szCs w:val="30"/>
        </w:rPr>
        <w:t>-</w:t>
      </w:r>
      <w:r w:rsidRPr="00F24050">
        <w:rPr>
          <w:rFonts w:eastAsiaTheme="minorHAnsi" w:cstheme="minorBidi"/>
          <w:i w:val="0"/>
          <w:sz w:val="24"/>
          <w:szCs w:val="30"/>
        </w:rPr>
        <w:t>Level Objectives. These communicate the instructional goal of each session in a course.</w:t>
      </w:r>
    </w:p>
    <w:p w14:paraId="5B70415B" w14:textId="5EA7D09B" w:rsidR="00F24050" w:rsidRPr="00F24050" w:rsidRDefault="00F24050" w:rsidP="00F24050">
      <w:pPr>
        <w:pStyle w:val="Heading3"/>
        <w:rPr>
          <w:rFonts w:eastAsiaTheme="minorHAnsi" w:cstheme="minorBidi"/>
          <w:i w:val="0"/>
          <w:sz w:val="24"/>
          <w:szCs w:val="30"/>
        </w:rPr>
      </w:pPr>
      <w:r w:rsidRPr="00F24050">
        <w:rPr>
          <w:rFonts w:eastAsiaTheme="minorHAnsi" w:cstheme="minorBidi"/>
          <w:b/>
          <w:i w:val="0"/>
          <w:sz w:val="24"/>
          <w:szCs w:val="30"/>
        </w:rPr>
        <w:t xml:space="preserve">Detailed Learning Objectives. </w:t>
      </w:r>
      <w:r w:rsidRPr="00F24050">
        <w:rPr>
          <w:rFonts w:eastAsiaTheme="minorHAnsi" w:cstheme="minorBidi"/>
          <w:i w:val="0"/>
          <w:sz w:val="24"/>
          <w:szCs w:val="30"/>
        </w:rPr>
        <w:t>The second type of course objectives we write are called Detailed Learning Objectives.</w:t>
      </w:r>
      <w:r>
        <w:rPr>
          <w:rFonts w:eastAsiaTheme="minorHAnsi" w:cstheme="minorBidi"/>
          <w:i w:val="0"/>
          <w:sz w:val="24"/>
          <w:szCs w:val="30"/>
        </w:rPr>
        <w:t xml:space="preserve"> These drill down from the high-</w:t>
      </w:r>
      <w:r w:rsidRPr="00F24050">
        <w:rPr>
          <w:rFonts w:eastAsiaTheme="minorHAnsi" w:cstheme="minorBidi"/>
          <w:i w:val="0"/>
          <w:sz w:val="24"/>
          <w:szCs w:val="30"/>
        </w:rPr>
        <w:t xml:space="preserve">level objective for a specific session, and are used to provide more specific information on what you want learners to achieve as a result of completing a given session. The rule of thumb is to create </w:t>
      </w:r>
      <w:r>
        <w:rPr>
          <w:rFonts w:eastAsiaTheme="minorHAnsi" w:cstheme="minorBidi"/>
          <w:i w:val="0"/>
          <w:sz w:val="24"/>
          <w:szCs w:val="30"/>
        </w:rPr>
        <w:t>3</w:t>
      </w:r>
      <w:r w:rsidRPr="00F24050">
        <w:rPr>
          <w:rFonts w:eastAsiaTheme="minorHAnsi" w:cstheme="minorBidi"/>
          <w:i w:val="0"/>
          <w:sz w:val="24"/>
          <w:szCs w:val="30"/>
        </w:rPr>
        <w:t xml:space="preserve"> to </w:t>
      </w:r>
      <w:r>
        <w:rPr>
          <w:rFonts w:eastAsiaTheme="minorHAnsi" w:cstheme="minorBidi"/>
          <w:i w:val="0"/>
          <w:sz w:val="24"/>
          <w:szCs w:val="30"/>
        </w:rPr>
        <w:t>5</w:t>
      </w:r>
      <w:r w:rsidRPr="00F24050">
        <w:rPr>
          <w:rFonts w:eastAsiaTheme="minorHAnsi" w:cstheme="minorBidi"/>
          <w:i w:val="0"/>
          <w:sz w:val="24"/>
          <w:szCs w:val="30"/>
        </w:rPr>
        <w:t xml:space="preserve"> detailed learning objectives per session.</w:t>
      </w:r>
    </w:p>
    <w:p w14:paraId="46DC8606" w14:textId="39CB7587" w:rsidR="00F24050" w:rsidRDefault="00F24050" w:rsidP="00F24050">
      <w:pPr>
        <w:pStyle w:val="Heading3"/>
        <w:rPr>
          <w:b/>
          <w:sz w:val="24"/>
          <w:lang w:val="fr-FR"/>
        </w:rPr>
      </w:pPr>
      <w:proofErr w:type="spellStart"/>
      <w:r w:rsidRPr="00F24050">
        <w:rPr>
          <w:b/>
          <w:sz w:val="24"/>
          <w:lang w:val="fr-FR"/>
        </w:rPr>
        <w:t>Sample</w:t>
      </w:r>
      <w:proofErr w:type="spellEnd"/>
      <w:r w:rsidRPr="00F24050">
        <w:rPr>
          <w:b/>
          <w:sz w:val="24"/>
          <w:lang w:val="fr-FR"/>
        </w:rPr>
        <w:t xml:space="preserve"> </w:t>
      </w:r>
      <w:r>
        <w:rPr>
          <w:b/>
          <w:sz w:val="24"/>
          <w:lang w:val="fr-FR"/>
        </w:rPr>
        <w:t>High-</w:t>
      </w:r>
      <w:proofErr w:type="spellStart"/>
      <w:r>
        <w:rPr>
          <w:b/>
          <w:sz w:val="24"/>
          <w:lang w:val="fr-FR"/>
        </w:rPr>
        <w:t>Level</w:t>
      </w:r>
      <w:proofErr w:type="spellEnd"/>
      <w:r>
        <w:rPr>
          <w:b/>
          <w:sz w:val="24"/>
          <w:lang w:val="fr-FR"/>
        </w:rPr>
        <w:t xml:space="preserve"> Objective</w:t>
      </w:r>
    </w:p>
    <w:p w14:paraId="44DB4AE7" w14:textId="007126F1" w:rsidR="00F24050" w:rsidRPr="00F24050" w:rsidRDefault="00F24050" w:rsidP="00F24050">
      <w:pPr>
        <w:pStyle w:val="Heading3"/>
        <w:rPr>
          <w:rFonts w:eastAsiaTheme="minorHAnsi" w:cstheme="minorBidi"/>
          <w:i w:val="0"/>
          <w:sz w:val="24"/>
          <w:szCs w:val="30"/>
        </w:rPr>
      </w:pPr>
      <w:r w:rsidRPr="00F24050">
        <w:rPr>
          <w:rFonts w:eastAsiaTheme="minorHAnsi" w:cstheme="minorBidi"/>
          <w:i w:val="0"/>
          <w:sz w:val="24"/>
          <w:szCs w:val="30"/>
        </w:rPr>
        <w:t>In a course on the Tuberculosis-Advanced Concepts</w:t>
      </w:r>
      <w:r>
        <w:rPr>
          <w:rFonts w:eastAsiaTheme="minorHAnsi" w:cstheme="minorBidi"/>
          <w:i w:val="0"/>
          <w:sz w:val="24"/>
          <w:szCs w:val="30"/>
        </w:rPr>
        <w:t>, a high-</w:t>
      </w:r>
      <w:r w:rsidRPr="00F24050">
        <w:rPr>
          <w:rFonts w:eastAsiaTheme="minorHAnsi" w:cstheme="minorBidi"/>
          <w:i w:val="0"/>
          <w:sz w:val="24"/>
          <w:szCs w:val="30"/>
        </w:rPr>
        <w:t>level objective for a session on “Childhood Tuberculosis” might be to be able to:</w:t>
      </w:r>
    </w:p>
    <w:p w14:paraId="041A7D07" w14:textId="6692BC0D" w:rsidR="00F24050" w:rsidRDefault="00F24050" w:rsidP="00F24050">
      <w:pPr>
        <w:pStyle w:val="Heading3"/>
        <w:numPr>
          <w:ilvl w:val="0"/>
          <w:numId w:val="8"/>
        </w:numPr>
        <w:rPr>
          <w:rFonts w:eastAsiaTheme="minorHAnsi" w:cstheme="minorBidi"/>
          <w:i w:val="0"/>
          <w:sz w:val="24"/>
          <w:szCs w:val="30"/>
        </w:rPr>
      </w:pPr>
      <w:r w:rsidRPr="00F24050">
        <w:rPr>
          <w:rFonts w:eastAsiaTheme="minorHAnsi" w:cstheme="minorBidi"/>
          <w:i w:val="0"/>
          <w:sz w:val="24"/>
          <w:szCs w:val="30"/>
        </w:rPr>
        <w:t xml:space="preserve">Determine the special challenges of childhood </w:t>
      </w:r>
      <w:r>
        <w:rPr>
          <w:rFonts w:eastAsiaTheme="minorHAnsi" w:cstheme="minorBidi"/>
          <w:i w:val="0"/>
          <w:sz w:val="24"/>
          <w:szCs w:val="30"/>
        </w:rPr>
        <w:t>TB</w:t>
      </w:r>
    </w:p>
    <w:p w14:paraId="0245A624" w14:textId="77777777" w:rsidR="00F24050" w:rsidRDefault="00F24050" w:rsidP="00F24050">
      <w:pPr>
        <w:pStyle w:val="Heading3"/>
        <w:rPr>
          <w:rFonts w:eastAsiaTheme="minorHAnsi" w:cstheme="minorBidi"/>
          <w:i w:val="0"/>
          <w:sz w:val="24"/>
          <w:szCs w:val="30"/>
        </w:rPr>
      </w:pPr>
    </w:p>
    <w:p w14:paraId="2E6E082B" w14:textId="3195512F" w:rsidR="00F24050" w:rsidRDefault="00F24050" w:rsidP="00F24050">
      <w:pPr>
        <w:pStyle w:val="Heading3"/>
        <w:rPr>
          <w:b/>
          <w:sz w:val="24"/>
          <w:lang w:val="fr-FR"/>
        </w:rPr>
      </w:pPr>
      <w:r w:rsidRPr="00F24050">
        <w:rPr>
          <w:rFonts w:eastAsiaTheme="minorHAnsi" w:cstheme="minorBidi"/>
          <w:i w:val="0"/>
          <w:sz w:val="24"/>
          <w:szCs w:val="30"/>
        </w:rPr>
        <w:t xml:space="preserve"> </w:t>
      </w:r>
      <w:proofErr w:type="spellStart"/>
      <w:r w:rsidRPr="00F24050">
        <w:rPr>
          <w:b/>
          <w:sz w:val="24"/>
          <w:lang w:val="fr-FR"/>
        </w:rPr>
        <w:t>Sample</w:t>
      </w:r>
      <w:proofErr w:type="spellEnd"/>
      <w:r w:rsidRPr="00F24050">
        <w:rPr>
          <w:b/>
          <w:sz w:val="24"/>
          <w:lang w:val="fr-FR"/>
        </w:rPr>
        <w:t xml:space="preserve"> </w:t>
      </w:r>
      <w:proofErr w:type="spellStart"/>
      <w:r>
        <w:rPr>
          <w:b/>
          <w:sz w:val="24"/>
          <w:lang w:val="fr-FR"/>
        </w:rPr>
        <w:t>Detailed</w:t>
      </w:r>
      <w:proofErr w:type="spellEnd"/>
      <w:r>
        <w:rPr>
          <w:b/>
          <w:sz w:val="24"/>
          <w:lang w:val="fr-FR"/>
        </w:rPr>
        <w:t xml:space="preserve"> Learning Objective</w:t>
      </w:r>
    </w:p>
    <w:p w14:paraId="64C8DB5E" w14:textId="48E402A9" w:rsidR="00F24050" w:rsidRPr="00F24050" w:rsidRDefault="00F24050" w:rsidP="00F24050">
      <w:pPr>
        <w:pStyle w:val="Heading3"/>
        <w:rPr>
          <w:rFonts w:eastAsiaTheme="minorHAnsi" w:cstheme="minorBidi"/>
          <w:i w:val="0"/>
          <w:sz w:val="24"/>
          <w:szCs w:val="30"/>
        </w:rPr>
      </w:pPr>
      <w:r w:rsidRPr="00F24050">
        <w:rPr>
          <w:rFonts w:eastAsiaTheme="minorHAnsi" w:cstheme="minorBidi"/>
          <w:i w:val="0"/>
          <w:sz w:val="24"/>
          <w:szCs w:val="30"/>
        </w:rPr>
        <w:t>Drilling down from that high</w:t>
      </w:r>
      <w:r>
        <w:rPr>
          <w:rFonts w:eastAsiaTheme="minorHAnsi" w:cstheme="minorBidi"/>
          <w:i w:val="0"/>
          <w:sz w:val="24"/>
          <w:szCs w:val="30"/>
        </w:rPr>
        <w:t>-</w:t>
      </w:r>
      <w:r w:rsidRPr="00F24050">
        <w:rPr>
          <w:rFonts w:eastAsiaTheme="minorHAnsi" w:cstheme="minorBidi"/>
          <w:i w:val="0"/>
          <w:sz w:val="24"/>
          <w:szCs w:val="30"/>
        </w:rPr>
        <w:t>level session objective above, more detailed learning objectives for that particular session in the course might include:</w:t>
      </w:r>
    </w:p>
    <w:p w14:paraId="089480CA" w14:textId="77777777" w:rsidR="00F24050" w:rsidRPr="00F24050" w:rsidRDefault="00F24050" w:rsidP="00F24050">
      <w:pPr>
        <w:pStyle w:val="Heading3"/>
        <w:numPr>
          <w:ilvl w:val="0"/>
          <w:numId w:val="8"/>
        </w:numPr>
        <w:rPr>
          <w:rFonts w:eastAsiaTheme="minorHAnsi" w:cstheme="minorBidi"/>
          <w:i w:val="0"/>
          <w:sz w:val="24"/>
          <w:szCs w:val="30"/>
        </w:rPr>
      </w:pPr>
      <w:r w:rsidRPr="00F24050">
        <w:rPr>
          <w:rFonts w:eastAsiaTheme="minorHAnsi" w:cstheme="minorBidi"/>
          <w:i w:val="0"/>
          <w:sz w:val="24"/>
          <w:szCs w:val="30"/>
        </w:rPr>
        <w:t xml:space="preserve">Name four risk factors that increase the risk of progression to TB disease. </w:t>
      </w:r>
    </w:p>
    <w:p w14:paraId="441D7E7A" w14:textId="77777777" w:rsidR="00F24050" w:rsidRPr="00F24050" w:rsidRDefault="00F24050" w:rsidP="00F24050">
      <w:pPr>
        <w:pStyle w:val="Heading3"/>
        <w:numPr>
          <w:ilvl w:val="0"/>
          <w:numId w:val="8"/>
        </w:numPr>
        <w:rPr>
          <w:rFonts w:eastAsiaTheme="minorHAnsi" w:cstheme="minorBidi"/>
          <w:i w:val="0"/>
          <w:sz w:val="24"/>
          <w:szCs w:val="30"/>
        </w:rPr>
      </w:pPr>
      <w:r w:rsidRPr="00F24050">
        <w:rPr>
          <w:rFonts w:eastAsiaTheme="minorHAnsi" w:cstheme="minorBidi"/>
          <w:i w:val="0"/>
          <w:sz w:val="24"/>
          <w:szCs w:val="30"/>
        </w:rPr>
        <w:t xml:space="preserve">Identify two challenges in the surveillance of childhood TB. </w:t>
      </w:r>
    </w:p>
    <w:p w14:paraId="3A89F7E5" w14:textId="77777777" w:rsidR="00F24050" w:rsidRPr="00F24050" w:rsidRDefault="00F24050" w:rsidP="00F24050">
      <w:pPr>
        <w:pStyle w:val="Heading3"/>
        <w:numPr>
          <w:ilvl w:val="0"/>
          <w:numId w:val="8"/>
        </w:numPr>
        <w:rPr>
          <w:rFonts w:eastAsiaTheme="minorHAnsi" w:cstheme="minorBidi"/>
          <w:i w:val="0"/>
          <w:sz w:val="24"/>
          <w:szCs w:val="30"/>
        </w:rPr>
      </w:pPr>
      <w:r w:rsidRPr="00F24050">
        <w:rPr>
          <w:rFonts w:eastAsiaTheme="minorHAnsi" w:cstheme="minorBidi"/>
          <w:i w:val="0"/>
          <w:sz w:val="24"/>
          <w:szCs w:val="30"/>
        </w:rPr>
        <w:t>Recall the gold standard to diagnose TB in a child.</w:t>
      </w:r>
    </w:p>
    <w:p w14:paraId="2BD56992" w14:textId="073B1FF5" w:rsidR="00F24050" w:rsidRPr="00F24050" w:rsidRDefault="00F24050" w:rsidP="00F24050">
      <w:pPr>
        <w:pStyle w:val="Heading3"/>
        <w:rPr>
          <w:rFonts w:eastAsiaTheme="minorHAnsi" w:cstheme="minorBidi"/>
          <w:i w:val="0"/>
          <w:sz w:val="24"/>
          <w:szCs w:val="30"/>
        </w:rPr>
      </w:pPr>
    </w:p>
    <w:p w14:paraId="33074AC0" w14:textId="77777777" w:rsidR="00F24050" w:rsidRPr="00F24050" w:rsidRDefault="00F24050" w:rsidP="00F24050">
      <w:pPr>
        <w:pStyle w:val="Heading3"/>
        <w:rPr>
          <w:rFonts w:eastAsiaTheme="minorHAnsi" w:cstheme="minorBidi"/>
          <w:i w:val="0"/>
          <w:sz w:val="24"/>
          <w:szCs w:val="30"/>
        </w:rPr>
      </w:pPr>
    </w:p>
    <w:p w14:paraId="1E4C7BF7" w14:textId="77777777" w:rsidR="00F24050" w:rsidRDefault="00F24050" w:rsidP="00F24050">
      <w:pPr>
        <w:pStyle w:val="Heading3"/>
        <w:rPr>
          <w:rFonts w:eastAsiaTheme="minorHAnsi" w:cstheme="minorBidi"/>
          <w:i w:val="0"/>
          <w:sz w:val="24"/>
          <w:szCs w:val="30"/>
        </w:rPr>
      </w:pPr>
    </w:p>
    <w:p w14:paraId="66FAA33F" w14:textId="77777777" w:rsidR="00F24050" w:rsidRPr="00F24050" w:rsidRDefault="00F24050" w:rsidP="00F24050"/>
    <w:p w14:paraId="4DA772BE" w14:textId="77777777" w:rsidR="00F24050" w:rsidRPr="00D904BF" w:rsidRDefault="00F24050" w:rsidP="00092279">
      <w:pPr>
        <w:rPr>
          <w:rFonts w:asciiTheme="majorHAnsi" w:hAnsiTheme="majorHAnsi"/>
          <w:szCs w:val="26"/>
        </w:rPr>
      </w:pPr>
    </w:p>
    <w:sectPr w:rsidR="00F24050" w:rsidRPr="00D904BF" w:rsidSect="0020116E">
      <w:headerReference w:type="default" r:id="rId8"/>
      <w:footerReference w:type="default" r:id="rId9"/>
      <w:headerReference w:type="first" r:id="rId10"/>
      <w:footerReference w:type="first" r:id="rId11"/>
      <w:pgSz w:w="12240" w:h="15840"/>
      <w:pgMar w:top="144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7AE4D" w14:textId="77777777" w:rsidR="007E6E3C" w:rsidRDefault="007E6E3C">
      <w:r>
        <w:separator/>
      </w:r>
    </w:p>
    <w:p w14:paraId="77B69E28" w14:textId="77777777" w:rsidR="007E6E3C" w:rsidRDefault="007E6E3C"/>
  </w:endnote>
  <w:endnote w:type="continuationSeparator" w:id="0">
    <w:p w14:paraId="71E5DED8" w14:textId="77777777" w:rsidR="007E6E3C" w:rsidRDefault="007E6E3C">
      <w:r>
        <w:continuationSeparator/>
      </w:r>
    </w:p>
    <w:p w14:paraId="1AA2E86D" w14:textId="77777777" w:rsidR="007E6E3C" w:rsidRDefault="007E6E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eiryo">
    <w:charset w:val="80"/>
    <w:family w:val="swiss"/>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699706"/>
      <w:docPartObj>
        <w:docPartGallery w:val="Page Numbers (Bottom of Page)"/>
        <w:docPartUnique/>
      </w:docPartObj>
    </w:sdtPr>
    <w:sdtEndPr>
      <w:rPr>
        <w:noProof/>
      </w:rPr>
    </w:sdtEndPr>
    <w:sdtContent>
      <w:p w14:paraId="6BF1239C" w14:textId="77777777" w:rsidR="007C2FEF" w:rsidRDefault="007C2FEF">
        <w:pPr>
          <w:pStyle w:val="Footer"/>
        </w:pPr>
        <w:r>
          <w:fldChar w:fldCharType="begin"/>
        </w:r>
        <w:r>
          <w:instrText xml:space="preserve"> PAGE   \* MERGEFORMAT </w:instrText>
        </w:r>
        <w:r>
          <w:fldChar w:fldCharType="separate"/>
        </w:r>
        <w:r w:rsidR="00F24050">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70373"/>
      <w:docPartObj>
        <w:docPartGallery w:val="Page Numbers (Bottom of Page)"/>
        <w:docPartUnique/>
      </w:docPartObj>
    </w:sdtPr>
    <w:sdtEndPr>
      <w:rPr>
        <w:noProof/>
      </w:rPr>
    </w:sdtEndPr>
    <w:sdtContent>
      <w:p w14:paraId="4CF90735" w14:textId="08975DBC" w:rsidR="007C2FEF" w:rsidRDefault="007C2FEF">
        <w:pPr>
          <w:pStyle w:val="Footer"/>
          <w:jc w:val="right"/>
        </w:pPr>
        <w:r>
          <w:fldChar w:fldCharType="begin"/>
        </w:r>
        <w:r>
          <w:instrText xml:space="preserve"> PAGE   \* MERGEFORMAT </w:instrText>
        </w:r>
        <w:r>
          <w:fldChar w:fldCharType="separate"/>
        </w:r>
        <w:r w:rsidR="00F24050">
          <w:rPr>
            <w:noProof/>
          </w:rPr>
          <w:t>1</w:t>
        </w:r>
        <w:r>
          <w:rPr>
            <w:noProof/>
          </w:rPr>
          <w:fldChar w:fldCharType="end"/>
        </w:r>
      </w:p>
    </w:sdtContent>
  </w:sdt>
  <w:p w14:paraId="52682442" w14:textId="77777777" w:rsidR="009C769A" w:rsidRPr="000E7712" w:rsidRDefault="009C769A" w:rsidP="009C769A">
    <w:pPr>
      <w:pStyle w:val="NormalWeb"/>
      <w:spacing w:before="0" w:beforeAutospacing="0" w:after="0" w:afterAutospacing="0"/>
      <w:rPr>
        <w:rFonts w:ascii="Gill Sans MT" w:hAnsi="Gill Sans MT" w:cs="Arial"/>
        <w:sz w:val="18"/>
        <w:szCs w:val="18"/>
      </w:rPr>
    </w:pPr>
    <w:bookmarkStart w:id="2" w:name="_Hlk77679733"/>
    <w:r w:rsidRPr="005655EB">
      <w:rPr>
        <w:rFonts w:ascii="Gill Sans MT" w:hAnsi="Gill Sans MT" w:cs="Arial"/>
        <w:i/>
        <w:iCs/>
        <w:color w:val="000000"/>
        <w:sz w:val="18"/>
        <w:szCs w:val="18"/>
      </w:rPr>
      <w:t xml:space="preserve">This resource is made possible by the support of the American People through the United States Agency for International Development (USAID) under the Knowledge SUCCESS (Strengthening Use, Capacity, Collaboration, Exchange, Synthesis, and Sharing) Project Cooperative Agreement No. 7200AA19CA00001 with the Johns Hopkins University. Knowledge SUCCESS is supported by USAID’s Bureau for Global Health, Office of Population and Reproductive Health and led by the Johns Hopkins Center for Communication Programs (CCP) in partnership with </w:t>
    </w:r>
    <w:proofErr w:type="spellStart"/>
    <w:r w:rsidRPr="005655EB">
      <w:rPr>
        <w:rFonts w:ascii="Gill Sans MT" w:hAnsi="Gill Sans MT" w:cs="Arial"/>
        <w:i/>
        <w:iCs/>
        <w:color w:val="000000"/>
        <w:sz w:val="18"/>
        <w:szCs w:val="18"/>
      </w:rPr>
      <w:t>Amref</w:t>
    </w:r>
    <w:proofErr w:type="spellEnd"/>
    <w:r w:rsidRPr="005655EB">
      <w:rPr>
        <w:rFonts w:ascii="Gill Sans MT" w:hAnsi="Gill Sans MT" w:cs="Arial"/>
        <w:i/>
        <w:iCs/>
        <w:color w:val="000000"/>
        <w:sz w:val="18"/>
        <w:szCs w:val="18"/>
      </w:rPr>
      <w:t xml:space="preserve"> Health Africa, </w:t>
    </w:r>
    <w:proofErr w:type="spellStart"/>
    <w:r w:rsidRPr="005655EB">
      <w:rPr>
        <w:rFonts w:ascii="Gill Sans MT" w:hAnsi="Gill Sans MT" w:cs="Arial"/>
        <w:i/>
        <w:iCs/>
        <w:color w:val="000000"/>
        <w:sz w:val="18"/>
        <w:szCs w:val="18"/>
      </w:rPr>
      <w:t>Busara</w:t>
    </w:r>
    <w:proofErr w:type="spellEnd"/>
    <w:r w:rsidRPr="005655EB">
      <w:rPr>
        <w:rFonts w:ascii="Gill Sans MT" w:hAnsi="Gill Sans MT" w:cs="Arial"/>
        <w:i/>
        <w:iCs/>
        <w:color w:val="000000"/>
        <w:sz w:val="18"/>
        <w:szCs w:val="18"/>
      </w:rPr>
      <w:t xml:space="preserve"> Center for Behavioral Economics (</w:t>
    </w:r>
    <w:proofErr w:type="spellStart"/>
    <w:r w:rsidRPr="005655EB">
      <w:rPr>
        <w:rFonts w:ascii="Gill Sans MT" w:hAnsi="Gill Sans MT" w:cs="Arial"/>
        <w:i/>
        <w:iCs/>
        <w:color w:val="000000"/>
        <w:sz w:val="18"/>
        <w:szCs w:val="18"/>
      </w:rPr>
      <w:t>Busara</w:t>
    </w:r>
    <w:proofErr w:type="spellEnd"/>
    <w:r w:rsidRPr="005655EB">
      <w:rPr>
        <w:rFonts w:ascii="Gill Sans MT" w:hAnsi="Gill Sans MT" w:cs="Arial"/>
        <w:i/>
        <w:iCs/>
        <w:color w:val="000000"/>
        <w:sz w:val="18"/>
        <w:szCs w:val="18"/>
      </w:rPr>
      <w:t xml:space="preserve">), and FHI 360. The information provided in this resource is the sole responsibility of Knowledge SUCCESS and does not necessarily reflect the views of USAID, the U.S. Government, or the Johns Hopkins University. The resource may be adapted as needed; the original material can be found on </w:t>
    </w:r>
    <w:r w:rsidRPr="000E7712">
      <w:rPr>
        <w:rFonts w:ascii="Gill Sans MT" w:hAnsi="Gill Sans MT" w:cs="Arial"/>
        <w:i/>
        <w:iCs/>
        <w:sz w:val="18"/>
        <w:szCs w:val="18"/>
      </w:rPr>
      <w:t>www.kmtraining.org</w:t>
    </w:r>
    <w:r w:rsidRPr="005655EB">
      <w:rPr>
        <w:rFonts w:ascii="Gill Sans MT" w:hAnsi="Gill Sans MT" w:cs="Arial"/>
        <w:i/>
        <w:iCs/>
        <w:color w:val="000000"/>
        <w:sz w:val="18"/>
        <w:szCs w:val="18"/>
      </w:rPr>
      <w:t>.</w:t>
    </w:r>
    <w:bookmarkEnd w:id="2"/>
  </w:p>
  <w:p w14:paraId="6BE7372C" w14:textId="5CC6D1B6" w:rsidR="007C2FEF" w:rsidRPr="00092279" w:rsidRDefault="007C2FEF" w:rsidP="009C769A">
    <w:pPr>
      <w:pStyle w:val="Footer"/>
      <w:ind w:right="360"/>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F158E" w14:textId="77777777" w:rsidR="007E6E3C" w:rsidRDefault="007E6E3C">
      <w:r>
        <w:separator/>
      </w:r>
    </w:p>
    <w:p w14:paraId="2C6AC6EC" w14:textId="77777777" w:rsidR="007E6E3C" w:rsidRDefault="007E6E3C"/>
  </w:footnote>
  <w:footnote w:type="continuationSeparator" w:id="0">
    <w:p w14:paraId="10057EE6" w14:textId="77777777" w:rsidR="007E6E3C" w:rsidRDefault="007E6E3C">
      <w:r>
        <w:continuationSeparator/>
      </w:r>
    </w:p>
    <w:p w14:paraId="3DE1FBE5" w14:textId="77777777" w:rsidR="007E6E3C" w:rsidRDefault="007E6E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009A" w14:textId="77777777" w:rsidR="007C2FEF" w:rsidRDefault="007C2FEF">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9264" behindDoc="0" locked="0" layoutInCell="1" allowOverlap="1" wp14:anchorId="2590D924" wp14:editId="791B1CF8">
          <wp:simplePos x="0" y="0"/>
          <wp:positionH relativeFrom="column">
            <wp:posOffset>1193800</wp:posOffset>
          </wp:positionH>
          <wp:positionV relativeFrom="paragraph">
            <wp:posOffset>-342900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BC64" w14:textId="5D52ADB2" w:rsidR="007C2FEF" w:rsidRDefault="007C2FEF">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61312" behindDoc="0" locked="0" layoutInCell="1" allowOverlap="1" wp14:anchorId="47DE62BA" wp14:editId="397E43FA">
          <wp:simplePos x="0" y="0"/>
          <wp:positionH relativeFrom="margin">
            <wp:posOffset>0</wp:posOffset>
          </wp:positionH>
          <wp:positionV relativeFrom="paragraph">
            <wp:posOffset>0</wp:posOffset>
          </wp:positionV>
          <wp:extent cx="3361921" cy="42062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EF7879"/>
    <w:multiLevelType w:val="hybridMultilevel"/>
    <w:tmpl w:val="DC8C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F19F1"/>
    <w:multiLevelType w:val="hybridMultilevel"/>
    <w:tmpl w:val="B04E0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3C3ACB"/>
    <w:multiLevelType w:val="hybridMultilevel"/>
    <w:tmpl w:val="5A40A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B6F0454"/>
    <w:multiLevelType w:val="multilevel"/>
    <w:tmpl w:val="64DE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A6375D"/>
    <w:multiLevelType w:val="hybridMultilevel"/>
    <w:tmpl w:val="EEDE6D3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4"/>
  </w:num>
  <w:num w:numId="4">
    <w:abstractNumId w:val="8"/>
  </w:num>
  <w:num w:numId="5">
    <w:abstractNumId w:val="3"/>
  </w:num>
  <w:num w:numId="6">
    <w:abstractNumId w:val="5"/>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3D"/>
    <w:rsid w:val="00092279"/>
    <w:rsid w:val="000B0A08"/>
    <w:rsid w:val="000F7AA9"/>
    <w:rsid w:val="00181E13"/>
    <w:rsid w:val="001A7791"/>
    <w:rsid w:val="001C0DA3"/>
    <w:rsid w:val="001C281B"/>
    <w:rsid w:val="0020116E"/>
    <w:rsid w:val="00206C21"/>
    <w:rsid w:val="00233212"/>
    <w:rsid w:val="00263913"/>
    <w:rsid w:val="002D3A6B"/>
    <w:rsid w:val="00307B30"/>
    <w:rsid w:val="003D75BB"/>
    <w:rsid w:val="004F118D"/>
    <w:rsid w:val="005412BD"/>
    <w:rsid w:val="0055553D"/>
    <w:rsid w:val="00681FE7"/>
    <w:rsid w:val="007C2FEF"/>
    <w:rsid w:val="007E6E3C"/>
    <w:rsid w:val="009763B6"/>
    <w:rsid w:val="009C769A"/>
    <w:rsid w:val="00A43205"/>
    <w:rsid w:val="00AD26EC"/>
    <w:rsid w:val="00C6377D"/>
    <w:rsid w:val="00CC2C5D"/>
    <w:rsid w:val="00D0160E"/>
    <w:rsid w:val="00D05E0A"/>
    <w:rsid w:val="00D904BF"/>
    <w:rsid w:val="00E966B8"/>
    <w:rsid w:val="00F24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C2C73C"/>
  <w15:docId w15:val="{1D77D917-5FDC-4467-8565-2A074B4F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A6B"/>
    <w:rPr>
      <w:rFonts w:ascii="Gill Sans MT" w:hAnsi="Gill Sans MT"/>
      <w:sz w:val="24"/>
    </w:rPr>
  </w:style>
  <w:style w:type="paragraph" w:styleId="Heading1">
    <w:name w:val="heading 1"/>
    <w:basedOn w:val="Normal"/>
    <w:next w:val="Normal"/>
    <w:link w:val="Heading1Char"/>
    <w:uiPriority w:val="9"/>
    <w:qFormat/>
    <w:rsid w:val="00681FE7"/>
    <w:pPr>
      <w:keepNext/>
      <w:keepLines/>
      <w:spacing w:before="460" w:after="480" w:line="276" w:lineRule="auto"/>
      <w:outlineLvl w:val="0"/>
    </w:pPr>
    <w:rPr>
      <w:rFonts w:eastAsiaTheme="majorEastAsia" w:cstheme="majorBidi"/>
      <w:b/>
      <w:color w:val="auto"/>
      <w:sz w:val="40"/>
      <w:szCs w:val="32"/>
    </w:rPr>
  </w:style>
  <w:style w:type="paragraph" w:styleId="Heading2">
    <w:name w:val="heading 2"/>
    <w:basedOn w:val="Normal"/>
    <w:next w:val="Normal"/>
    <w:link w:val="Heading2Char"/>
    <w:uiPriority w:val="9"/>
    <w:unhideWhenUsed/>
    <w:qFormat/>
    <w:rsid w:val="00681FE7"/>
    <w:pPr>
      <w:keepNext/>
      <w:keepLines/>
      <w:spacing w:before="160" w:after="160" w:line="276" w:lineRule="auto"/>
      <w:outlineLvl w:val="1"/>
    </w:pPr>
    <w:rPr>
      <w:rFonts w:eastAsiaTheme="majorEastAsia" w:cstheme="majorBidi"/>
      <w:b/>
      <w:color w:val="auto"/>
      <w:sz w:val="28"/>
      <w:szCs w:val="26"/>
    </w:rPr>
  </w:style>
  <w:style w:type="paragraph" w:styleId="Heading3">
    <w:name w:val="heading 3"/>
    <w:basedOn w:val="Normal"/>
    <w:next w:val="Normal"/>
    <w:link w:val="Heading3Char"/>
    <w:uiPriority w:val="9"/>
    <w:unhideWhenUsed/>
    <w:qFormat/>
    <w:rsid w:val="000F7AA9"/>
    <w:pPr>
      <w:keepNext/>
      <w:keepLines/>
      <w:spacing w:before="160" w:after="160" w:line="276" w:lineRule="auto"/>
      <w:outlineLvl w:val="2"/>
    </w:pPr>
    <w:rPr>
      <w:rFonts w:eastAsiaTheme="majorEastAsia" w:cstheme="majorBidi"/>
      <w:i/>
      <w:color w:val="auto"/>
      <w:sz w:val="22"/>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681FE7"/>
    <w:rPr>
      <w:rFonts w:ascii="Gill Sans MT" w:eastAsiaTheme="majorEastAsia" w:hAnsi="Gill Sans MT" w:cstheme="majorBidi"/>
      <w:b/>
      <w:color w:val="auto"/>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681FE7"/>
    <w:rPr>
      <w:rFonts w:ascii="Gill Sans MT" w:eastAsiaTheme="majorEastAsia" w:hAnsi="Gill Sans MT" w:cstheme="majorBidi"/>
      <w:b/>
      <w:color w:val="auto"/>
      <w:sz w:val="28"/>
      <w:szCs w:val="26"/>
    </w:rPr>
  </w:style>
  <w:style w:type="character" w:customStyle="1" w:styleId="Heading3Char">
    <w:name w:val="Heading 3 Char"/>
    <w:basedOn w:val="DefaultParagraphFont"/>
    <w:link w:val="Heading3"/>
    <w:uiPriority w:val="9"/>
    <w:rsid w:val="000F7AA9"/>
    <w:rPr>
      <w:rFonts w:ascii="Gill Sans MT" w:eastAsiaTheme="majorEastAsia" w:hAnsi="Gill Sans MT" w:cstheme="majorBidi"/>
      <w:i/>
      <w:color w:val="auto"/>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table" w:styleId="TableGrid">
    <w:name w:val="Table Grid"/>
    <w:basedOn w:val="TableNormal"/>
    <w:uiPriority w:val="39"/>
    <w:rsid w:val="003D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4050"/>
    <w:pPr>
      <w:ind w:left="720"/>
      <w:contextualSpacing/>
    </w:pPr>
  </w:style>
  <w:style w:type="paragraph" w:customStyle="1" w:styleId="body">
    <w:name w:val="body"/>
    <w:basedOn w:val="Normal"/>
    <w:rsid w:val="00F24050"/>
    <w:pPr>
      <w:spacing w:before="100" w:beforeAutospacing="1" w:after="100" w:afterAutospacing="1" w:line="240" w:lineRule="auto"/>
    </w:pPr>
    <w:rPr>
      <w:rFonts w:ascii="Times New Roman" w:eastAsia="Times New Roman" w:hAnsi="Times New Roman" w:cs="Times New Roman"/>
      <w:color w:val="auto"/>
      <w:szCs w:val="24"/>
      <w:lang w:eastAsia="en-US"/>
    </w:rPr>
  </w:style>
  <w:style w:type="paragraph" w:styleId="NormalWeb">
    <w:name w:val="Normal (Web)"/>
    <w:basedOn w:val="Normal"/>
    <w:uiPriority w:val="99"/>
    <w:unhideWhenUsed/>
    <w:rsid w:val="009C769A"/>
    <w:pPr>
      <w:spacing w:before="100" w:beforeAutospacing="1" w:after="100" w:afterAutospacing="1" w:line="240" w:lineRule="auto"/>
    </w:pPr>
    <w:rPr>
      <w:rFonts w:ascii="Times New Roman" w:eastAsia="Times New Roman" w:hAnsi="Times New Roman" w:cs="Times New Roman"/>
      <w:color w:val="auto"/>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12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EEFDA-FA54-47EC-8184-78208E807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Beisser</dc:creator>
  <cp:lastModifiedBy>Sean Stewart</cp:lastModifiedBy>
  <cp:revision>3</cp:revision>
  <dcterms:created xsi:type="dcterms:W3CDTF">2017-11-13T17:14:00Z</dcterms:created>
  <dcterms:modified xsi:type="dcterms:W3CDTF">2021-07-30T19:08:00Z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