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C8A3" w14:textId="619F726A" w:rsidR="009B133F" w:rsidRPr="00E84E9D" w:rsidRDefault="00207A2A" w:rsidP="006066FE">
      <w:pPr>
        <w:pStyle w:val="Heading2"/>
        <w:keepNext w:val="0"/>
        <w:keepLines w:val="0"/>
        <w:widowControl w:val="0"/>
        <w:spacing w:after="120"/>
        <w:rPr>
          <w:sz w:val="40"/>
          <w:szCs w:val="32"/>
        </w:rPr>
      </w:pPr>
      <w:r>
        <w:rPr>
          <w:sz w:val="40"/>
          <w:szCs w:val="32"/>
        </w:rPr>
        <w:t>Sample</w:t>
      </w:r>
      <w:r w:rsidR="00E84E9D">
        <w:rPr>
          <w:sz w:val="40"/>
          <w:szCs w:val="32"/>
        </w:rPr>
        <w:t>:</w:t>
      </w:r>
      <w:r w:rsidR="00E84E9D">
        <w:rPr>
          <w:sz w:val="40"/>
          <w:szCs w:val="32"/>
        </w:rPr>
        <w:br/>
      </w:r>
      <w:r w:rsidR="004E7DAB">
        <w:rPr>
          <w:sz w:val="40"/>
          <w:szCs w:val="40"/>
        </w:rPr>
        <w:t>Concept Note</w:t>
      </w:r>
      <w:r w:rsidR="009B133F" w:rsidRPr="00E84E9D">
        <w:rPr>
          <w:sz w:val="40"/>
          <w:szCs w:val="40"/>
        </w:rPr>
        <w:t xml:space="preserve"> </w:t>
      </w:r>
    </w:p>
    <w:p w14:paraId="1829E4FF" w14:textId="4879BB1C"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7E70187B" w14:textId="3683F78A" w:rsidR="004E7DAB" w:rsidRPr="009E1B91" w:rsidRDefault="004E7DAB" w:rsidP="004E7DAB">
      <w:pPr>
        <w:pStyle w:val="Normal1"/>
        <w:widowControl w:val="0"/>
        <w:numPr>
          <w:ilvl w:val="0"/>
          <w:numId w:val="14"/>
        </w:numPr>
        <w:ind w:hanging="360"/>
        <w:rPr>
          <w:rFonts w:ascii="Gill Sans MT" w:hAnsi="Gill Sans MT"/>
          <w:sz w:val="24"/>
          <w:szCs w:val="24"/>
        </w:rPr>
      </w:pPr>
      <w:r>
        <w:rPr>
          <w:rFonts w:ascii="Gill Sans MT" w:hAnsi="Gill Sans MT"/>
          <w:sz w:val="24"/>
          <w:szCs w:val="24"/>
        </w:rPr>
        <w:t>To u</w:t>
      </w:r>
      <w:r w:rsidRPr="009E1B91">
        <w:rPr>
          <w:rFonts w:ascii="Gill Sans MT" w:hAnsi="Gill Sans MT"/>
          <w:sz w:val="24"/>
          <w:szCs w:val="24"/>
        </w:rPr>
        <w:t xml:space="preserve">nderstand the process, barriers and facilitators of knowledge exchange </w:t>
      </w:r>
    </w:p>
    <w:p w14:paraId="2D681DD2" w14:textId="717C7D7E" w:rsidR="004E7DAB" w:rsidRPr="009E1B91" w:rsidRDefault="004E7DAB" w:rsidP="004E7DAB">
      <w:pPr>
        <w:pStyle w:val="Normal1"/>
        <w:widowControl w:val="0"/>
        <w:numPr>
          <w:ilvl w:val="0"/>
          <w:numId w:val="14"/>
        </w:numPr>
        <w:ind w:hanging="360"/>
        <w:rPr>
          <w:rFonts w:ascii="Gill Sans MT" w:hAnsi="Gill Sans MT"/>
          <w:sz w:val="24"/>
          <w:szCs w:val="24"/>
        </w:rPr>
      </w:pPr>
      <w:r>
        <w:rPr>
          <w:rFonts w:ascii="Gill Sans MT" w:hAnsi="Gill Sans MT"/>
          <w:sz w:val="24"/>
          <w:szCs w:val="24"/>
        </w:rPr>
        <w:t>To i</w:t>
      </w:r>
      <w:r w:rsidRPr="009E1B91">
        <w:rPr>
          <w:rFonts w:ascii="Gill Sans MT" w:hAnsi="Gill Sans MT"/>
          <w:sz w:val="24"/>
          <w:szCs w:val="24"/>
        </w:rPr>
        <w:t xml:space="preserve">dentify existing platforms that are being utilized for knowledge exchange </w:t>
      </w:r>
    </w:p>
    <w:p w14:paraId="0E4CD3F0" w14:textId="757F3E39" w:rsidR="004E7DAB" w:rsidRPr="009E1B91" w:rsidRDefault="004E7DAB" w:rsidP="004E7DAB">
      <w:pPr>
        <w:pStyle w:val="Normal1"/>
        <w:widowControl w:val="0"/>
        <w:numPr>
          <w:ilvl w:val="0"/>
          <w:numId w:val="14"/>
        </w:numPr>
        <w:ind w:hanging="360"/>
        <w:rPr>
          <w:rFonts w:ascii="Gill Sans MT" w:hAnsi="Gill Sans MT"/>
          <w:sz w:val="24"/>
          <w:szCs w:val="24"/>
        </w:rPr>
      </w:pPr>
      <w:r w:rsidRPr="009E1B91">
        <w:rPr>
          <w:rFonts w:ascii="Gill Sans MT" w:hAnsi="Gill Sans MT"/>
          <w:sz w:val="24"/>
          <w:szCs w:val="24"/>
        </w:rPr>
        <w:t>To use assess</w:t>
      </w:r>
      <w:r>
        <w:rPr>
          <w:rFonts w:ascii="Gill Sans MT" w:hAnsi="Gill Sans MT"/>
          <w:sz w:val="24"/>
          <w:szCs w:val="24"/>
        </w:rPr>
        <w:t xml:space="preserve">ment findings to inform knowledge management </w:t>
      </w:r>
      <w:r w:rsidRPr="009E1B91">
        <w:rPr>
          <w:rFonts w:ascii="Gill Sans MT" w:hAnsi="Gill Sans MT"/>
          <w:sz w:val="24"/>
          <w:szCs w:val="24"/>
        </w:rPr>
        <w:t xml:space="preserve">activities to strengthen knowledge exchange </w:t>
      </w:r>
    </w:p>
    <w:p w14:paraId="692DFC1E" w14:textId="46143C7F" w:rsidR="009B133F" w:rsidRPr="00E84E9D" w:rsidRDefault="004E7DAB" w:rsidP="00E84E9D">
      <w:pPr>
        <w:spacing w:before="160" w:after="160" w:line="276" w:lineRule="auto"/>
        <w:rPr>
          <w:rFonts w:eastAsiaTheme="majorEastAsia" w:cstheme="majorBidi"/>
          <w:b/>
          <w:sz w:val="28"/>
          <w:szCs w:val="26"/>
        </w:rPr>
      </w:pPr>
      <w:r>
        <w:rPr>
          <w:rFonts w:eastAsiaTheme="majorEastAsia" w:cstheme="majorBidi"/>
          <w:b/>
          <w:sz w:val="28"/>
          <w:szCs w:val="26"/>
        </w:rPr>
        <w:t>Background and Rationale</w:t>
      </w:r>
    </w:p>
    <w:p w14:paraId="4898CF80" w14:textId="77777777" w:rsidR="004E7DAB" w:rsidRPr="009E1B91" w:rsidRDefault="004E7DAB" w:rsidP="004E7DAB">
      <w:pPr>
        <w:pStyle w:val="Normal1"/>
        <w:widowControl w:val="0"/>
        <w:rPr>
          <w:rFonts w:ascii="Gill Sans MT" w:hAnsi="Gill Sans MT"/>
          <w:sz w:val="24"/>
          <w:szCs w:val="24"/>
        </w:rPr>
      </w:pPr>
      <w:r w:rsidRPr="009E1B91">
        <w:rPr>
          <w:rFonts w:ascii="Gill Sans MT" w:hAnsi="Gill Sans MT"/>
          <w:sz w:val="24"/>
          <w:szCs w:val="24"/>
        </w:rPr>
        <w:t>In order to effectively implement, monitor and evaluate proposed KM activities, additional data collection will be vital to systematically document and compare the progress before and after the project has been implemented.</w:t>
      </w:r>
    </w:p>
    <w:p w14:paraId="6196BD53" w14:textId="79DF7D15" w:rsidR="009B133F" w:rsidRPr="00E84E9D" w:rsidRDefault="004E7DAB" w:rsidP="00E84E9D">
      <w:pPr>
        <w:spacing w:before="160" w:after="160" w:line="276" w:lineRule="auto"/>
        <w:rPr>
          <w:rFonts w:eastAsiaTheme="majorEastAsia" w:cstheme="majorBidi"/>
          <w:b/>
          <w:sz w:val="28"/>
          <w:szCs w:val="26"/>
        </w:rPr>
      </w:pPr>
      <w:r>
        <w:rPr>
          <w:rFonts w:eastAsiaTheme="majorEastAsia" w:cstheme="majorBidi"/>
          <w:b/>
          <w:sz w:val="28"/>
          <w:szCs w:val="26"/>
        </w:rPr>
        <w:t>Methodology</w:t>
      </w:r>
    </w:p>
    <w:p w14:paraId="3D3513C7" w14:textId="3050EF2D" w:rsidR="004E7DAB" w:rsidRPr="009E1B91" w:rsidRDefault="004E7DAB" w:rsidP="004E7DAB">
      <w:pPr>
        <w:pStyle w:val="Normal1"/>
        <w:widowControl w:val="0"/>
        <w:spacing w:after="120"/>
        <w:rPr>
          <w:rFonts w:ascii="Gill Sans MT" w:hAnsi="Gill Sans MT"/>
          <w:sz w:val="24"/>
          <w:szCs w:val="24"/>
        </w:rPr>
      </w:pPr>
      <w:r w:rsidRPr="009E1B91">
        <w:rPr>
          <w:rFonts w:ascii="Gill Sans MT" w:hAnsi="Gill Sans MT"/>
          <w:sz w:val="24"/>
          <w:szCs w:val="24"/>
        </w:rPr>
        <w:t xml:space="preserve">We will employ qualitative and quantitative methods to gain a better and more comprehensive understanding of the various domains addressed by the project. The data collection includes quantitative and qualitative components to enhance and validate findings. </w:t>
      </w:r>
    </w:p>
    <w:tbl>
      <w:tblPr>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2610"/>
        <w:gridCol w:w="3420"/>
        <w:gridCol w:w="1615"/>
      </w:tblGrid>
      <w:tr w:rsidR="004E7DAB" w:rsidRPr="009E1B91" w14:paraId="4D29B8AB" w14:textId="77777777" w:rsidTr="004E7DAB">
        <w:tc>
          <w:tcPr>
            <w:tcW w:w="1720" w:type="dxa"/>
            <w:shd w:val="clear" w:color="auto" w:fill="007EA5"/>
            <w:tcMar>
              <w:top w:w="100" w:type="dxa"/>
              <w:left w:w="100" w:type="dxa"/>
              <w:bottom w:w="100" w:type="dxa"/>
              <w:right w:w="100" w:type="dxa"/>
            </w:tcMar>
          </w:tcPr>
          <w:p w14:paraId="0B55C6D5" w14:textId="77777777" w:rsidR="004E7DAB" w:rsidRPr="004E7DAB" w:rsidRDefault="004E7DAB" w:rsidP="002D055E">
            <w:pPr>
              <w:pStyle w:val="Normal1"/>
              <w:widowControl w:val="0"/>
              <w:rPr>
                <w:rFonts w:ascii="Gill Sans MT" w:hAnsi="Gill Sans MT"/>
                <w:color w:val="FFFFFF" w:themeColor="background1"/>
                <w:sz w:val="24"/>
                <w:szCs w:val="24"/>
              </w:rPr>
            </w:pPr>
            <w:r w:rsidRPr="004E7DAB">
              <w:rPr>
                <w:rFonts w:ascii="Gill Sans MT" w:hAnsi="Gill Sans MT"/>
                <w:b/>
                <w:color w:val="FFFFFF" w:themeColor="background1"/>
                <w:sz w:val="24"/>
                <w:szCs w:val="24"/>
              </w:rPr>
              <w:t>Instrument</w:t>
            </w:r>
          </w:p>
        </w:tc>
        <w:tc>
          <w:tcPr>
            <w:tcW w:w="2610" w:type="dxa"/>
            <w:shd w:val="clear" w:color="auto" w:fill="007EA5"/>
            <w:tcMar>
              <w:top w:w="100" w:type="dxa"/>
              <w:left w:w="100" w:type="dxa"/>
              <w:bottom w:w="100" w:type="dxa"/>
              <w:right w:w="100" w:type="dxa"/>
            </w:tcMar>
          </w:tcPr>
          <w:p w14:paraId="74B9A068" w14:textId="77777777" w:rsidR="004E7DAB" w:rsidRPr="004E7DAB" w:rsidRDefault="004E7DAB" w:rsidP="002D055E">
            <w:pPr>
              <w:pStyle w:val="Normal1"/>
              <w:widowControl w:val="0"/>
              <w:rPr>
                <w:rFonts w:ascii="Gill Sans MT" w:hAnsi="Gill Sans MT"/>
                <w:color w:val="FFFFFF" w:themeColor="background1"/>
                <w:sz w:val="24"/>
                <w:szCs w:val="24"/>
              </w:rPr>
            </w:pPr>
            <w:r w:rsidRPr="004E7DAB">
              <w:rPr>
                <w:rFonts w:ascii="Gill Sans MT" w:hAnsi="Gill Sans MT"/>
                <w:b/>
                <w:color w:val="FFFFFF" w:themeColor="background1"/>
                <w:sz w:val="24"/>
                <w:szCs w:val="24"/>
              </w:rPr>
              <w:t>Design</w:t>
            </w:r>
          </w:p>
        </w:tc>
        <w:tc>
          <w:tcPr>
            <w:tcW w:w="3420" w:type="dxa"/>
            <w:shd w:val="clear" w:color="auto" w:fill="007EA5"/>
            <w:tcMar>
              <w:top w:w="100" w:type="dxa"/>
              <w:left w:w="100" w:type="dxa"/>
              <w:bottom w:w="100" w:type="dxa"/>
              <w:right w:w="100" w:type="dxa"/>
            </w:tcMar>
          </w:tcPr>
          <w:p w14:paraId="104BBD7B" w14:textId="77777777" w:rsidR="004E7DAB" w:rsidRPr="004E7DAB" w:rsidRDefault="004E7DAB" w:rsidP="002D055E">
            <w:pPr>
              <w:pStyle w:val="Normal1"/>
              <w:widowControl w:val="0"/>
              <w:rPr>
                <w:rFonts w:ascii="Gill Sans MT" w:hAnsi="Gill Sans MT"/>
                <w:color w:val="FFFFFF" w:themeColor="background1"/>
                <w:sz w:val="24"/>
                <w:szCs w:val="24"/>
              </w:rPr>
            </w:pPr>
            <w:r w:rsidRPr="004E7DAB">
              <w:rPr>
                <w:rFonts w:ascii="Gill Sans MT" w:hAnsi="Gill Sans MT"/>
                <w:b/>
                <w:color w:val="FFFFFF" w:themeColor="background1"/>
                <w:sz w:val="24"/>
                <w:szCs w:val="24"/>
              </w:rPr>
              <w:t xml:space="preserve">Participants </w:t>
            </w:r>
          </w:p>
        </w:tc>
        <w:tc>
          <w:tcPr>
            <w:tcW w:w="1615" w:type="dxa"/>
            <w:shd w:val="clear" w:color="auto" w:fill="007EA5"/>
            <w:tcMar>
              <w:top w:w="100" w:type="dxa"/>
              <w:left w:w="100" w:type="dxa"/>
              <w:bottom w:w="100" w:type="dxa"/>
              <w:right w:w="100" w:type="dxa"/>
            </w:tcMar>
          </w:tcPr>
          <w:p w14:paraId="44B0C95C" w14:textId="77777777" w:rsidR="004E7DAB" w:rsidRPr="004E7DAB" w:rsidRDefault="004E7DAB" w:rsidP="002D055E">
            <w:pPr>
              <w:pStyle w:val="Normal1"/>
              <w:widowControl w:val="0"/>
              <w:rPr>
                <w:rFonts w:ascii="Gill Sans MT" w:hAnsi="Gill Sans MT"/>
                <w:color w:val="FFFFFF" w:themeColor="background1"/>
                <w:sz w:val="24"/>
                <w:szCs w:val="24"/>
              </w:rPr>
            </w:pPr>
            <w:r w:rsidRPr="004E7DAB">
              <w:rPr>
                <w:rFonts w:ascii="Gill Sans MT" w:hAnsi="Gill Sans MT"/>
                <w:b/>
                <w:color w:val="FFFFFF" w:themeColor="background1"/>
                <w:sz w:val="24"/>
                <w:szCs w:val="24"/>
              </w:rPr>
              <w:t>Domains</w:t>
            </w:r>
          </w:p>
        </w:tc>
      </w:tr>
      <w:tr w:rsidR="004E7DAB" w:rsidRPr="009E1B91" w14:paraId="54D2FCB2" w14:textId="77777777" w:rsidTr="004E7DAB">
        <w:tc>
          <w:tcPr>
            <w:tcW w:w="1720" w:type="dxa"/>
            <w:shd w:val="clear" w:color="auto" w:fill="auto"/>
            <w:tcMar>
              <w:top w:w="100" w:type="dxa"/>
              <w:left w:w="100" w:type="dxa"/>
              <w:bottom w:w="100" w:type="dxa"/>
              <w:right w:w="100" w:type="dxa"/>
            </w:tcMar>
          </w:tcPr>
          <w:p w14:paraId="549E67B0"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Key informant interview guide (KII)</w:t>
            </w:r>
          </w:p>
          <w:p w14:paraId="5BFCB688" w14:textId="77777777" w:rsidR="004E7DAB" w:rsidRPr="009E1B91" w:rsidRDefault="004E7DAB" w:rsidP="002D055E">
            <w:pPr>
              <w:pStyle w:val="Normal1"/>
              <w:widowControl w:val="0"/>
              <w:rPr>
                <w:rFonts w:ascii="Gill Sans MT" w:hAnsi="Gill Sans MT"/>
                <w:sz w:val="24"/>
                <w:szCs w:val="24"/>
              </w:rPr>
            </w:pPr>
          </w:p>
          <w:p w14:paraId="08F37951" w14:textId="77777777" w:rsidR="004E7DAB" w:rsidRPr="009E1B91" w:rsidRDefault="004E7DAB" w:rsidP="002D055E">
            <w:pPr>
              <w:pStyle w:val="Normal1"/>
              <w:widowControl w:val="0"/>
              <w:rPr>
                <w:rFonts w:ascii="Gill Sans MT" w:hAnsi="Gill Sans MT"/>
                <w:sz w:val="24"/>
                <w:szCs w:val="24"/>
              </w:rPr>
            </w:pPr>
          </w:p>
        </w:tc>
        <w:tc>
          <w:tcPr>
            <w:tcW w:w="2610" w:type="dxa"/>
            <w:shd w:val="clear" w:color="auto" w:fill="auto"/>
            <w:tcMar>
              <w:top w:w="100" w:type="dxa"/>
              <w:left w:w="100" w:type="dxa"/>
              <w:bottom w:w="100" w:type="dxa"/>
              <w:right w:w="100" w:type="dxa"/>
            </w:tcMar>
          </w:tcPr>
          <w:p w14:paraId="7F81E034" w14:textId="28ADD855"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Mixed quantitative and qualitative</w:t>
            </w:r>
            <w:r>
              <w:rPr>
                <w:rFonts w:ascii="Gill Sans MT" w:hAnsi="Gill Sans MT"/>
                <w:sz w:val="24"/>
                <w:szCs w:val="24"/>
              </w:rPr>
              <w:t xml:space="preserve"> instrument: mostly open-</w:t>
            </w:r>
            <w:r w:rsidRPr="009E1B91">
              <w:rPr>
                <w:rFonts w:ascii="Gill Sans MT" w:hAnsi="Gill Sans MT"/>
                <w:sz w:val="24"/>
                <w:szCs w:val="24"/>
              </w:rPr>
              <w:t xml:space="preserve">ended questions but also includes open-ended questions for data validation. </w:t>
            </w:r>
          </w:p>
          <w:p w14:paraId="34832B8B" w14:textId="77777777" w:rsidR="004E7DAB" w:rsidRPr="009E1B91" w:rsidRDefault="004E7DAB" w:rsidP="002D055E">
            <w:pPr>
              <w:pStyle w:val="Normal1"/>
              <w:widowControl w:val="0"/>
              <w:rPr>
                <w:rFonts w:ascii="Gill Sans MT" w:hAnsi="Gill Sans MT"/>
                <w:sz w:val="24"/>
                <w:szCs w:val="24"/>
              </w:rPr>
            </w:pPr>
          </w:p>
          <w:p w14:paraId="272A48B1" w14:textId="77777777" w:rsidR="004E7DAB" w:rsidRPr="009E1B91" w:rsidRDefault="004E7DAB" w:rsidP="002D055E">
            <w:pPr>
              <w:pStyle w:val="Normal1"/>
              <w:widowControl w:val="0"/>
              <w:rPr>
                <w:rFonts w:ascii="Gill Sans MT" w:hAnsi="Gill Sans MT"/>
                <w:sz w:val="24"/>
                <w:szCs w:val="24"/>
              </w:rPr>
            </w:pPr>
          </w:p>
        </w:tc>
        <w:tc>
          <w:tcPr>
            <w:tcW w:w="3420" w:type="dxa"/>
            <w:shd w:val="clear" w:color="auto" w:fill="auto"/>
            <w:tcMar>
              <w:top w:w="100" w:type="dxa"/>
              <w:left w:w="100" w:type="dxa"/>
              <w:bottom w:w="100" w:type="dxa"/>
              <w:right w:w="100" w:type="dxa"/>
            </w:tcMar>
          </w:tcPr>
          <w:p w14:paraId="7D401E2C" w14:textId="3915594D"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Participants will include:</w:t>
            </w:r>
          </w:p>
          <w:p w14:paraId="1FD281B6" w14:textId="77777777" w:rsidR="004E7DAB" w:rsidRPr="009E1B91" w:rsidRDefault="004E7DAB" w:rsidP="004E7DAB">
            <w:pPr>
              <w:pStyle w:val="Normal1"/>
              <w:widowControl w:val="0"/>
              <w:numPr>
                <w:ilvl w:val="0"/>
                <w:numId w:val="15"/>
              </w:numPr>
              <w:ind w:left="235" w:hanging="180"/>
              <w:rPr>
                <w:rFonts w:ascii="Gill Sans MT" w:hAnsi="Gill Sans MT"/>
                <w:sz w:val="24"/>
                <w:szCs w:val="24"/>
              </w:rPr>
            </w:pPr>
            <w:r w:rsidRPr="009E1B91">
              <w:rPr>
                <w:rFonts w:ascii="Gill Sans MT" w:hAnsi="Gill Sans MT"/>
                <w:sz w:val="24"/>
                <w:szCs w:val="24"/>
              </w:rPr>
              <w:t>Directors</w:t>
            </w:r>
          </w:p>
          <w:p w14:paraId="69C6E32E" w14:textId="77777777" w:rsidR="004E7DAB" w:rsidRPr="009E1B91" w:rsidRDefault="004E7DAB" w:rsidP="004E7DAB">
            <w:pPr>
              <w:pStyle w:val="Normal1"/>
              <w:widowControl w:val="0"/>
              <w:numPr>
                <w:ilvl w:val="0"/>
                <w:numId w:val="15"/>
              </w:numPr>
              <w:ind w:left="235" w:hanging="180"/>
              <w:rPr>
                <w:rFonts w:ascii="Gill Sans MT" w:hAnsi="Gill Sans MT"/>
                <w:sz w:val="24"/>
                <w:szCs w:val="24"/>
              </w:rPr>
            </w:pPr>
            <w:r w:rsidRPr="009E1B91">
              <w:rPr>
                <w:rFonts w:ascii="Gill Sans MT" w:hAnsi="Gill Sans MT"/>
                <w:sz w:val="24"/>
                <w:szCs w:val="24"/>
              </w:rPr>
              <w:t>Program Officers</w:t>
            </w:r>
          </w:p>
          <w:p w14:paraId="0E06412B" w14:textId="77777777" w:rsidR="004E7DAB" w:rsidRPr="009E1B91" w:rsidRDefault="004E7DAB" w:rsidP="002D055E">
            <w:pPr>
              <w:pStyle w:val="Normal1"/>
              <w:widowControl w:val="0"/>
              <w:rPr>
                <w:rFonts w:ascii="Gill Sans MT" w:hAnsi="Gill Sans MT"/>
                <w:sz w:val="24"/>
                <w:szCs w:val="24"/>
              </w:rPr>
            </w:pPr>
          </w:p>
          <w:p w14:paraId="20FEBFDA"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 xml:space="preserve">Approximately ___ participants </w:t>
            </w:r>
          </w:p>
          <w:p w14:paraId="6812CEA2" w14:textId="77777777" w:rsidR="004E7DAB" w:rsidRPr="009E1B91" w:rsidRDefault="004E7DAB" w:rsidP="002D055E">
            <w:pPr>
              <w:pStyle w:val="Normal1"/>
              <w:widowControl w:val="0"/>
              <w:rPr>
                <w:rFonts w:ascii="Gill Sans MT" w:hAnsi="Gill Sans MT"/>
                <w:sz w:val="24"/>
                <w:szCs w:val="24"/>
              </w:rPr>
            </w:pPr>
          </w:p>
          <w:p w14:paraId="348DFEC9"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 xml:space="preserve">Interviews will last approximately 30-45 minutes per person. </w:t>
            </w:r>
          </w:p>
        </w:tc>
        <w:tc>
          <w:tcPr>
            <w:tcW w:w="1615" w:type="dxa"/>
            <w:shd w:val="clear" w:color="auto" w:fill="FFFFFF"/>
            <w:tcMar>
              <w:top w:w="100" w:type="dxa"/>
              <w:left w:w="100" w:type="dxa"/>
              <w:bottom w:w="100" w:type="dxa"/>
              <w:right w:w="100" w:type="dxa"/>
            </w:tcMar>
          </w:tcPr>
          <w:p w14:paraId="46742801"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Reach</w:t>
            </w:r>
          </w:p>
          <w:p w14:paraId="712F9709"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 xml:space="preserve">Engagement </w:t>
            </w:r>
          </w:p>
          <w:p w14:paraId="49C22AF5"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Usefulness</w:t>
            </w:r>
          </w:p>
          <w:p w14:paraId="38F6C80E"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Learning</w:t>
            </w:r>
          </w:p>
          <w:p w14:paraId="6E658CC3"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Action</w:t>
            </w:r>
          </w:p>
          <w:p w14:paraId="48D60036"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Collaboration</w:t>
            </w:r>
          </w:p>
        </w:tc>
      </w:tr>
    </w:tbl>
    <w:p w14:paraId="22C22D6D" w14:textId="0C689E4A" w:rsidR="009B133F" w:rsidRPr="00E84E9D" w:rsidRDefault="004E7DAB" w:rsidP="00E84E9D">
      <w:pPr>
        <w:spacing w:before="160" w:after="160" w:line="276" w:lineRule="auto"/>
        <w:rPr>
          <w:rFonts w:eastAsiaTheme="majorEastAsia" w:cstheme="majorBidi"/>
          <w:b/>
          <w:sz w:val="28"/>
          <w:szCs w:val="26"/>
        </w:rPr>
      </w:pPr>
      <w:r>
        <w:rPr>
          <w:rFonts w:eastAsiaTheme="majorEastAsia" w:cstheme="majorBidi"/>
          <w:b/>
          <w:sz w:val="28"/>
          <w:szCs w:val="26"/>
        </w:rPr>
        <w:t>Process to Follow</w:t>
      </w:r>
    </w:p>
    <w:p w14:paraId="48D9D785" w14:textId="77777777" w:rsidR="004E7DAB" w:rsidRPr="009E1B91" w:rsidRDefault="004E7DAB" w:rsidP="004E7DAB">
      <w:pPr>
        <w:pStyle w:val="Normal1"/>
        <w:widowControl w:val="0"/>
        <w:rPr>
          <w:rFonts w:ascii="Gill Sans MT" w:hAnsi="Gill Sans MT"/>
          <w:sz w:val="24"/>
          <w:szCs w:val="24"/>
        </w:rPr>
      </w:pPr>
      <w:r w:rsidRPr="009E1B91">
        <w:rPr>
          <w:rFonts w:ascii="Gill Sans MT" w:hAnsi="Gill Sans MT"/>
          <w:sz w:val="24"/>
          <w:szCs w:val="24"/>
        </w:rPr>
        <w:t>Prior to assessment</w:t>
      </w:r>
    </w:p>
    <w:p w14:paraId="682DE58D" w14:textId="77777777" w:rsidR="004E7DAB" w:rsidRPr="009E1B91" w:rsidRDefault="004E7DAB" w:rsidP="004E7DAB">
      <w:pPr>
        <w:pStyle w:val="Normal1"/>
        <w:widowControl w:val="0"/>
        <w:numPr>
          <w:ilvl w:val="0"/>
          <w:numId w:val="17"/>
        </w:numPr>
        <w:rPr>
          <w:rFonts w:ascii="Gill Sans MT" w:hAnsi="Gill Sans MT"/>
          <w:sz w:val="24"/>
          <w:szCs w:val="24"/>
        </w:rPr>
      </w:pPr>
      <w:r w:rsidRPr="009E1B91">
        <w:rPr>
          <w:rFonts w:ascii="Gill Sans MT" w:hAnsi="Gill Sans MT"/>
          <w:sz w:val="24"/>
          <w:szCs w:val="24"/>
        </w:rPr>
        <w:t>Identify a focal person.</w:t>
      </w:r>
    </w:p>
    <w:p w14:paraId="43CC4311" w14:textId="77777777" w:rsidR="004E7DAB" w:rsidRPr="009E1B91" w:rsidRDefault="004E7DAB" w:rsidP="004E7DAB">
      <w:pPr>
        <w:pStyle w:val="Normal1"/>
        <w:widowControl w:val="0"/>
        <w:numPr>
          <w:ilvl w:val="0"/>
          <w:numId w:val="17"/>
        </w:numPr>
        <w:rPr>
          <w:rFonts w:ascii="Gill Sans MT" w:hAnsi="Gill Sans MT"/>
          <w:sz w:val="24"/>
          <w:szCs w:val="24"/>
        </w:rPr>
      </w:pPr>
      <w:r w:rsidRPr="009E1B91">
        <w:rPr>
          <w:rFonts w:ascii="Gill Sans MT" w:hAnsi="Gill Sans MT"/>
          <w:sz w:val="24"/>
          <w:szCs w:val="24"/>
        </w:rPr>
        <w:lastRenderedPageBreak/>
        <w:t xml:space="preserve">The focal person will ensure appointments are fixed with the interviewees </w:t>
      </w:r>
    </w:p>
    <w:p w14:paraId="3C0BF1DF" w14:textId="0AD1E62A" w:rsidR="004E7DAB" w:rsidRPr="004E7DAB" w:rsidRDefault="004E7DAB" w:rsidP="004E7DAB">
      <w:pPr>
        <w:pStyle w:val="Normal1"/>
        <w:widowControl w:val="0"/>
        <w:numPr>
          <w:ilvl w:val="0"/>
          <w:numId w:val="17"/>
        </w:numPr>
        <w:rPr>
          <w:rFonts w:ascii="Gill Sans MT" w:hAnsi="Gill Sans MT"/>
          <w:sz w:val="24"/>
          <w:szCs w:val="24"/>
        </w:rPr>
      </w:pPr>
      <w:r w:rsidRPr="009E1B91">
        <w:rPr>
          <w:rFonts w:ascii="Gill Sans MT" w:hAnsi="Gill Sans MT"/>
          <w:sz w:val="24"/>
          <w:szCs w:val="24"/>
        </w:rPr>
        <w:t xml:space="preserve">The focal person and </w:t>
      </w:r>
      <w:r w:rsidR="00F16AA8" w:rsidRPr="00F16AA8">
        <w:rPr>
          <w:rFonts w:ascii="Gill Sans MT" w:hAnsi="Gill Sans MT"/>
          <w:sz w:val="24"/>
          <w:szCs w:val="24"/>
        </w:rPr>
        <w:t>Knowledge SUCCESS</w:t>
      </w:r>
      <w:r w:rsidRPr="009E1B91">
        <w:rPr>
          <w:rFonts w:ascii="Gill Sans MT" w:hAnsi="Gill Sans MT"/>
          <w:sz w:val="24"/>
          <w:szCs w:val="24"/>
        </w:rPr>
        <w:t xml:space="preserve"> will organize a briefing meeting prior to data collection and a debrief meeting directly after data collection with key MOH staff.</w:t>
      </w:r>
    </w:p>
    <w:p w14:paraId="314AC62A" w14:textId="77777777" w:rsidR="004E7DAB" w:rsidRPr="009E1B91" w:rsidRDefault="004E7DAB" w:rsidP="004E7DAB">
      <w:pPr>
        <w:pStyle w:val="Normal1"/>
        <w:widowControl w:val="0"/>
        <w:rPr>
          <w:rFonts w:ascii="Gill Sans MT" w:hAnsi="Gill Sans MT"/>
          <w:sz w:val="24"/>
          <w:szCs w:val="24"/>
        </w:rPr>
      </w:pPr>
      <w:r w:rsidRPr="009E1B91">
        <w:rPr>
          <w:rFonts w:ascii="Gill Sans MT" w:hAnsi="Gill Sans MT"/>
          <w:sz w:val="24"/>
          <w:szCs w:val="24"/>
        </w:rPr>
        <w:t>During Assessment</w:t>
      </w:r>
    </w:p>
    <w:p w14:paraId="1CA0FE0B" w14:textId="77777777" w:rsidR="004E7DAB" w:rsidRPr="009E1B91" w:rsidRDefault="004E7DAB" w:rsidP="004E7DAB">
      <w:pPr>
        <w:pStyle w:val="Normal1"/>
        <w:widowControl w:val="0"/>
        <w:numPr>
          <w:ilvl w:val="0"/>
          <w:numId w:val="18"/>
        </w:numPr>
        <w:rPr>
          <w:rFonts w:ascii="Gill Sans MT" w:hAnsi="Gill Sans MT"/>
          <w:sz w:val="24"/>
          <w:szCs w:val="24"/>
        </w:rPr>
      </w:pPr>
      <w:r w:rsidRPr="009E1B91">
        <w:rPr>
          <w:rFonts w:ascii="Gill Sans MT" w:hAnsi="Gill Sans MT"/>
          <w:sz w:val="24"/>
          <w:szCs w:val="24"/>
        </w:rPr>
        <w:t>Facilitate a briefing meeting (1 hour) with key staff before proceeding for data collection</w:t>
      </w:r>
    </w:p>
    <w:p w14:paraId="673EBC18" w14:textId="77777777" w:rsidR="004E7DAB" w:rsidRPr="009E1B91" w:rsidRDefault="004E7DAB" w:rsidP="004E7DAB">
      <w:pPr>
        <w:pStyle w:val="Normal1"/>
        <w:widowControl w:val="0"/>
        <w:numPr>
          <w:ilvl w:val="0"/>
          <w:numId w:val="18"/>
        </w:numPr>
        <w:rPr>
          <w:rFonts w:ascii="Gill Sans MT" w:hAnsi="Gill Sans MT"/>
          <w:sz w:val="24"/>
          <w:szCs w:val="24"/>
        </w:rPr>
      </w:pPr>
      <w:r w:rsidRPr="009E1B91">
        <w:rPr>
          <w:rFonts w:ascii="Gill Sans MT" w:hAnsi="Gill Sans MT"/>
          <w:sz w:val="24"/>
          <w:szCs w:val="24"/>
        </w:rPr>
        <w:t>Conduct data collection</w:t>
      </w:r>
    </w:p>
    <w:p w14:paraId="6CC2C539" w14:textId="77777777" w:rsidR="004E7DAB" w:rsidRPr="009E1B91" w:rsidRDefault="004E7DAB" w:rsidP="004E7DAB">
      <w:pPr>
        <w:pStyle w:val="Normal1"/>
        <w:widowControl w:val="0"/>
        <w:numPr>
          <w:ilvl w:val="0"/>
          <w:numId w:val="18"/>
        </w:numPr>
        <w:rPr>
          <w:rFonts w:ascii="Gill Sans MT" w:hAnsi="Gill Sans MT"/>
          <w:sz w:val="24"/>
          <w:szCs w:val="24"/>
        </w:rPr>
      </w:pPr>
      <w:r w:rsidRPr="009E1B91">
        <w:rPr>
          <w:rFonts w:ascii="Gill Sans MT" w:hAnsi="Gill Sans MT"/>
          <w:sz w:val="24"/>
          <w:szCs w:val="24"/>
        </w:rPr>
        <w:t>Lead debrief meeting with staff on after data collection</w:t>
      </w:r>
    </w:p>
    <w:p w14:paraId="004F1A29" w14:textId="4F978E7F" w:rsidR="009B133F" w:rsidRPr="00E84E9D" w:rsidRDefault="004E7DAB" w:rsidP="00E84E9D">
      <w:pPr>
        <w:spacing w:before="160" w:after="160" w:line="276" w:lineRule="auto"/>
        <w:rPr>
          <w:rFonts w:eastAsiaTheme="majorEastAsia" w:cstheme="majorBidi"/>
          <w:b/>
          <w:sz w:val="28"/>
          <w:szCs w:val="26"/>
        </w:rPr>
      </w:pPr>
      <w:r>
        <w:rPr>
          <w:rFonts w:eastAsiaTheme="majorEastAsia" w:cstheme="majorBidi"/>
          <w:b/>
          <w:sz w:val="28"/>
          <w:szCs w:val="26"/>
        </w:rPr>
        <w:t>Recruitment</w:t>
      </w:r>
    </w:p>
    <w:p w14:paraId="2964E885" w14:textId="77777777" w:rsidR="004E7DAB" w:rsidRDefault="004E7DAB" w:rsidP="004E7DAB">
      <w:pPr>
        <w:pStyle w:val="Normal1"/>
        <w:widowControl w:val="0"/>
        <w:rPr>
          <w:rFonts w:ascii="Gill Sans MT" w:hAnsi="Gill Sans MT"/>
          <w:sz w:val="24"/>
          <w:szCs w:val="24"/>
        </w:rPr>
      </w:pPr>
      <w:r w:rsidRPr="009E1B91">
        <w:rPr>
          <w:rFonts w:ascii="Gill Sans MT" w:hAnsi="Gill Sans MT"/>
          <w:sz w:val="24"/>
          <w:szCs w:val="24"/>
        </w:rPr>
        <w:t xml:space="preserve">Focal person will send an invitation letters. </w:t>
      </w:r>
    </w:p>
    <w:p w14:paraId="7897A09E" w14:textId="7288B308" w:rsidR="004E7DAB" w:rsidRPr="00E84E9D" w:rsidRDefault="004E7DAB" w:rsidP="004E7DAB">
      <w:pPr>
        <w:spacing w:before="160" w:after="160" w:line="276" w:lineRule="auto"/>
        <w:rPr>
          <w:rFonts w:eastAsiaTheme="majorEastAsia" w:cstheme="majorBidi"/>
          <w:b/>
          <w:sz w:val="28"/>
          <w:szCs w:val="26"/>
        </w:rPr>
      </w:pPr>
      <w:r>
        <w:rPr>
          <w:rFonts w:eastAsiaTheme="majorEastAsia" w:cstheme="majorBidi"/>
          <w:b/>
          <w:sz w:val="28"/>
          <w:szCs w:val="26"/>
        </w:rPr>
        <w:t>Data Analysis</w:t>
      </w:r>
    </w:p>
    <w:p w14:paraId="49C7C511" w14:textId="77777777" w:rsidR="004E7DAB" w:rsidRDefault="004E7DAB" w:rsidP="004E7DAB">
      <w:pPr>
        <w:spacing w:before="160" w:after="160" w:line="276" w:lineRule="auto"/>
        <w:rPr>
          <w:szCs w:val="24"/>
        </w:rPr>
      </w:pPr>
      <w:r w:rsidRPr="009E1B91">
        <w:rPr>
          <w:szCs w:val="24"/>
        </w:rPr>
        <w:t xml:space="preserve">Data will be analyzed using </w:t>
      </w:r>
      <w:proofErr w:type="spellStart"/>
      <w:r w:rsidRPr="009E1B91">
        <w:rPr>
          <w:szCs w:val="24"/>
        </w:rPr>
        <w:t>Atlas.ti</w:t>
      </w:r>
      <w:proofErr w:type="spellEnd"/>
      <w:r w:rsidRPr="009E1B91">
        <w:rPr>
          <w:szCs w:val="24"/>
        </w:rPr>
        <w:t xml:space="preserve"> and Excel to identify common themes. </w:t>
      </w:r>
    </w:p>
    <w:p w14:paraId="779D7323" w14:textId="6A3E6787" w:rsidR="004E7DAB" w:rsidRPr="00E84E9D" w:rsidRDefault="004E7DAB" w:rsidP="004E7DAB">
      <w:pPr>
        <w:spacing w:before="160" w:after="160" w:line="276" w:lineRule="auto"/>
        <w:rPr>
          <w:rFonts w:eastAsiaTheme="majorEastAsia" w:cstheme="majorBidi"/>
          <w:b/>
          <w:sz w:val="28"/>
          <w:szCs w:val="26"/>
        </w:rPr>
      </w:pPr>
      <w:r>
        <w:rPr>
          <w:rFonts w:eastAsiaTheme="majorEastAsia" w:cstheme="majorBidi"/>
          <w:b/>
          <w:sz w:val="28"/>
          <w:szCs w:val="26"/>
        </w:rPr>
        <w:t>Use of the Results</w:t>
      </w:r>
    </w:p>
    <w:p w14:paraId="69122189" w14:textId="7716A0FF" w:rsidR="004E7DAB" w:rsidRPr="009E1B91" w:rsidRDefault="004E7DAB" w:rsidP="004E7DAB">
      <w:pPr>
        <w:pStyle w:val="Normal1"/>
        <w:widowControl w:val="0"/>
        <w:rPr>
          <w:rFonts w:ascii="Gill Sans MT" w:hAnsi="Gill Sans MT"/>
          <w:sz w:val="24"/>
          <w:szCs w:val="24"/>
        </w:rPr>
      </w:pPr>
      <w:r w:rsidRPr="009E1B91">
        <w:rPr>
          <w:rFonts w:ascii="Gill Sans MT" w:hAnsi="Gill Sans MT"/>
          <w:sz w:val="24"/>
          <w:szCs w:val="24"/>
        </w:rPr>
        <w:t>The results will be used to inform KM activities to strengthen knowledge exchange.</w:t>
      </w:r>
    </w:p>
    <w:p w14:paraId="5C6D355E" w14:textId="2C19A2FE" w:rsidR="009B133F" w:rsidRPr="00E84E9D" w:rsidRDefault="004E7DAB" w:rsidP="00E84E9D">
      <w:pPr>
        <w:widowControl w:val="0"/>
        <w:spacing w:before="160" w:after="160" w:line="276" w:lineRule="auto"/>
        <w:rPr>
          <w:sz w:val="28"/>
        </w:rPr>
      </w:pPr>
      <w:r>
        <w:rPr>
          <w:b/>
          <w:sz w:val="28"/>
          <w:szCs w:val="24"/>
        </w:rPr>
        <w:t>Timeline</w:t>
      </w:r>
    </w:p>
    <w:p w14:paraId="4BF1919F" w14:textId="2018AD19" w:rsidR="004E7DAB" w:rsidRDefault="004E7DAB" w:rsidP="00E84E9D">
      <w:pPr>
        <w:spacing w:before="160" w:after="160" w:line="276" w:lineRule="auto"/>
        <w:rPr>
          <w:szCs w:val="24"/>
        </w:rPr>
      </w:pPr>
      <w:r w:rsidRPr="009E1B91">
        <w:rPr>
          <w:szCs w:val="24"/>
        </w:rPr>
        <w:t>Data collection will occur between April and May of 20</w:t>
      </w:r>
      <w:r w:rsidR="00F16AA8">
        <w:rPr>
          <w:szCs w:val="24"/>
        </w:rPr>
        <w:t>21</w:t>
      </w:r>
      <w:r w:rsidRPr="009E1B91">
        <w:rPr>
          <w:szCs w:val="24"/>
        </w:rPr>
        <w:t xml:space="preserve">. The timeline below is illustrative. </w:t>
      </w:r>
    </w:p>
    <w:p w14:paraId="6EF351A5" w14:textId="6FD19625" w:rsidR="009B133F" w:rsidRDefault="004E7DAB" w:rsidP="00E84E9D">
      <w:pPr>
        <w:spacing w:before="160" w:after="160" w:line="276" w:lineRule="auto"/>
        <w:rPr>
          <w:rFonts w:eastAsiaTheme="majorEastAsia" w:cstheme="majorBidi"/>
          <w:b/>
          <w:sz w:val="28"/>
          <w:szCs w:val="26"/>
        </w:rPr>
      </w:pPr>
      <w:r>
        <w:rPr>
          <w:rFonts w:eastAsiaTheme="majorEastAsia" w:cstheme="majorBidi"/>
          <w:b/>
          <w:sz w:val="28"/>
          <w:szCs w:val="26"/>
        </w:rPr>
        <w:t>Data Collection Timelines by Month</w:t>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955"/>
        <w:gridCol w:w="875"/>
        <w:gridCol w:w="825"/>
        <w:gridCol w:w="870"/>
        <w:gridCol w:w="945"/>
      </w:tblGrid>
      <w:tr w:rsidR="004E7DAB" w:rsidRPr="009E1B91" w14:paraId="0B94C0BD" w14:textId="77777777" w:rsidTr="004E7DAB">
        <w:tc>
          <w:tcPr>
            <w:tcW w:w="4725" w:type="dxa"/>
            <w:vMerge w:val="restart"/>
            <w:tcBorders>
              <w:top w:val="single" w:sz="8" w:space="0" w:color="000000"/>
              <w:left w:val="single" w:sz="8" w:space="0" w:color="000000"/>
              <w:bottom w:val="single" w:sz="8" w:space="0" w:color="000000"/>
              <w:right w:val="single" w:sz="8" w:space="0" w:color="000000"/>
            </w:tcBorders>
            <w:shd w:val="clear" w:color="auto" w:fill="007EA5"/>
            <w:tcMar>
              <w:top w:w="100" w:type="dxa"/>
              <w:left w:w="100" w:type="dxa"/>
              <w:bottom w:w="100" w:type="dxa"/>
              <w:right w:w="100" w:type="dxa"/>
            </w:tcMar>
            <w:vAlign w:val="bottom"/>
          </w:tcPr>
          <w:p w14:paraId="7B630158"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Activity</w:t>
            </w:r>
          </w:p>
        </w:tc>
        <w:tc>
          <w:tcPr>
            <w:tcW w:w="4470" w:type="dxa"/>
            <w:gridSpan w:val="5"/>
            <w:tcBorders>
              <w:top w:val="single" w:sz="8" w:space="0" w:color="000000"/>
              <w:bottom w:val="single" w:sz="8" w:space="0" w:color="000000"/>
              <w:right w:val="single" w:sz="8" w:space="0" w:color="000000"/>
            </w:tcBorders>
            <w:shd w:val="clear" w:color="auto" w:fill="007EA5"/>
            <w:tcMar>
              <w:top w:w="100" w:type="dxa"/>
              <w:left w:w="100" w:type="dxa"/>
              <w:bottom w:w="100" w:type="dxa"/>
              <w:right w:w="100" w:type="dxa"/>
            </w:tcMar>
          </w:tcPr>
          <w:p w14:paraId="20377BCA"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 xml:space="preserve">Months </w:t>
            </w:r>
          </w:p>
        </w:tc>
      </w:tr>
      <w:tr w:rsidR="004E7DAB" w:rsidRPr="009E1B91" w14:paraId="2F4318ED" w14:textId="77777777" w:rsidTr="004E7DAB">
        <w:tc>
          <w:tcPr>
            <w:tcW w:w="4725" w:type="dxa"/>
            <w:vMerge/>
            <w:shd w:val="clear" w:color="auto" w:fill="007EA5"/>
            <w:tcMar>
              <w:top w:w="100" w:type="dxa"/>
              <w:left w:w="100" w:type="dxa"/>
              <w:bottom w:w="100" w:type="dxa"/>
              <w:right w:w="100" w:type="dxa"/>
            </w:tcMar>
          </w:tcPr>
          <w:p w14:paraId="64B2C9A8" w14:textId="77777777" w:rsidR="004E7DAB" w:rsidRPr="004E7DAB" w:rsidRDefault="004E7DAB" w:rsidP="002D055E">
            <w:pPr>
              <w:pStyle w:val="Normal1"/>
              <w:widowControl w:val="0"/>
              <w:rPr>
                <w:rFonts w:ascii="Gill Sans MT" w:hAnsi="Gill Sans MT"/>
                <w:color w:val="FFFFFF" w:themeColor="background1"/>
                <w:sz w:val="24"/>
                <w:szCs w:val="24"/>
              </w:rPr>
            </w:pPr>
          </w:p>
        </w:tc>
        <w:tc>
          <w:tcPr>
            <w:tcW w:w="955" w:type="dxa"/>
            <w:tcBorders>
              <w:bottom w:val="single" w:sz="8" w:space="0" w:color="000000"/>
              <w:right w:val="single" w:sz="8" w:space="0" w:color="000000"/>
            </w:tcBorders>
            <w:shd w:val="clear" w:color="auto" w:fill="007EA5"/>
            <w:tcMar>
              <w:top w:w="100" w:type="dxa"/>
              <w:left w:w="100" w:type="dxa"/>
              <w:bottom w:w="100" w:type="dxa"/>
              <w:right w:w="100" w:type="dxa"/>
            </w:tcMar>
          </w:tcPr>
          <w:p w14:paraId="39EF184F"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March</w:t>
            </w:r>
          </w:p>
        </w:tc>
        <w:tc>
          <w:tcPr>
            <w:tcW w:w="875" w:type="dxa"/>
            <w:tcBorders>
              <w:bottom w:val="single" w:sz="8" w:space="0" w:color="000000"/>
              <w:right w:val="single" w:sz="8" w:space="0" w:color="000000"/>
            </w:tcBorders>
            <w:shd w:val="clear" w:color="auto" w:fill="007EA5"/>
            <w:tcMar>
              <w:top w:w="100" w:type="dxa"/>
              <w:left w:w="100" w:type="dxa"/>
              <w:bottom w:w="100" w:type="dxa"/>
              <w:right w:w="100" w:type="dxa"/>
            </w:tcMar>
          </w:tcPr>
          <w:p w14:paraId="24846638"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April</w:t>
            </w:r>
          </w:p>
        </w:tc>
        <w:tc>
          <w:tcPr>
            <w:tcW w:w="825" w:type="dxa"/>
            <w:tcBorders>
              <w:bottom w:val="single" w:sz="8" w:space="0" w:color="000000"/>
              <w:right w:val="single" w:sz="8" w:space="0" w:color="000000"/>
            </w:tcBorders>
            <w:shd w:val="clear" w:color="auto" w:fill="007EA5"/>
            <w:tcMar>
              <w:top w:w="100" w:type="dxa"/>
              <w:left w:w="100" w:type="dxa"/>
              <w:bottom w:w="100" w:type="dxa"/>
              <w:right w:w="100" w:type="dxa"/>
            </w:tcMar>
          </w:tcPr>
          <w:p w14:paraId="06522BD1"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May</w:t>
            </w:r>
          </w:p>
        </w:tc>
        <w:tc>
          <w:tcPr>
            <w:tcW w:w="870" w:type="dxa"/>
            <w:tcBorders>
              <w:bottom w:val="single" w:sz="8" w:space="0" w:color="000000"/>
              <w:right w:val="single" w:sz="8" w:space="0" w:color="000000"/>
            </w:tcBorders>
            <w:shd w:val="clear" w:color="auto" w:fill="007EA5"/>
            <w:tcMar>
              <w:top w:w="100" w:type="dxa"/>
              <w:left w:w="100" w:type="dxa"/>
              <w:bottom w:w="100" w:type="dxa"/>
              <w:right w:w="100" w:type="dxa"/>
            </w:tcMar>
          </w:tcPr>
          <w:p w14:paraId="1967B09E"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June</w:t>
            </w:r>
          </w:p>
        </w:tc>
        <w:tc>
          <w:tcPr>
            <w:tcW w:w="945" w:type="dxa"/>
            <w:tcBorders>
              <w:bottom w:val="single" w:sz="8" w:space="0" w:color="000000"/>
              <w:right w:val="single" w:sz="8" w:space="0" w:color="000000"/>
            </w:tcBorders>
            <w:shd w:val="clear" w:color="auto" w:fill="007EA5"/>
            <w:tcMar>
              <w:top w:w="100" w:type="dxa"/>
              <w:left w:w="100" w:type="dxa"/>
              <w:bottom w:w="100" w:type="dxa"/>
              <w:right w:w="100" w:type="dxa"/>
            </w:tcMar>
          </w:tcPr>
          <w:p w14:paraId="39EF6003" w14:textId="77777777" w:rsidR="004E7DAB" w:rsidRPr="004E7DAB" w:rsidRDefault="004E7DAB" w:rsidP="002D055E">
            <w:pPr>
              <w:pStyle w:val="Normal1"/>
              <w:widowControl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Pr>
              <w:t>July</w:t>
            </w:r>
          </w:p>
        </w:tc>
      </w:tr>
      <w:tr w:rsidR="004E7DAB" w:rsidRPr="009E1B91" w14:paraId="40F6F476"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FAAA"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Amend IRB</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31E018EF"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7D29661B" w14:textId="77777777" w:rsidR="004E7DAB" w:rsidRPr="009E1B91" w:rsidRDefault="004E7DAB" w:rsidP="002D055E">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383F1F7B" w14:textId="77777777" w:rsidR="004E7DAB" w:rsidRPr="009E1B91" w:rsidRDefault="004E7DAB" w:rsidP="002D055E">
            <w:pPr>
              <w:pStyle w:val="Normal1"/>
              <w:widowControl w:val="0"/>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8A78D52" w14:textId="77777777" w:rsidR="004E7DAB" w:rsidRPr="009E1B91" w:rsidRDefault="004E7DAB" w:rsidP="002D055E">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EE5623F" w14:textId="77777777" w:rsidR="004E7DAB" w:rsidRPr="009E1B91" w:rsidRDefault="004E7DAB" w:rsidP="002D055E">
            <w:pPr>
              <w:pStyle w:val="Normal1"/>
              <w:widowControl w:val="0"/>
              <w:jc w:val="center"/>
              <w:rPr>
                <w:rFonts w:ascii="Gill Sans MT" w:hAnsi="Gill Sans MT"/>
                <w:sz w:val="24"/>
                <w:szCs w:val="24"/>
              </w:rPr>
            </w:pPr>
          </w:p>
        </w:tc>
      </w:tr>
      <w:tr w:rsidR="004E7DAB" w:rsidRPr="009E1B91" w14:paraId="13B6F0AC"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D2A28"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Recruit participants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5D1731D2"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5DDF37B4"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5768DC3D" w14:textId="77777777" w:rsidR="004E7DAB" w:rsidRPr="009E1B91" w:rsidRDefault="004E7DAB" w:rsidP="002D055E">
            <w:pPr>
              <w:pStyle w:val="Normal1"/>
              <w:widowControl w:val="0"/>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CD606EB" w14:textId="77777777" w:rsidR="004E7DAB" w:rsidRPr="009E1B91" w:rsidRDefault="004E7DAB" w:rsidP="002D055E">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9D461C0" w14:textId="77777777" w:rsidR="004E7DAB" w:rsidRPr="009E1B91" w:rsidRDefault="004E7DAB" w:rsidP="002D055E">
            <w:pPr>
              <w:pStyle w:val="Normal1"/>
              <w:widowControl w:val="0"/>
              <w:jc w:val="center"/>
              <w:rPr>
                <w:rFonts w:ascii="Gill Sans MT" w:hAnsi="Gill Sans MT"/>
                <w:sz w:val="24"/>
                <w:szCs w:val="24"/>
              </w:rPr>
            </w:pPr>
          </w:p>
        </w:tc>
      </w:tr>
      <w:tr w:rsidR="004E7DAB" w:rsidRPr="009E1B91" w14:paraId="7B8CBD8D"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BBBDE"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Conduct data collection</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4AA31521" w14:textId="77777777" w:rsidR="004E7DAB" w:rsidRPr="009E1B91" w:rsidRDefault="004E7DAB" w:rsidP="002D055E">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6D6E78F7"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2237DBD"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69B859D" w14:textId="77777777" w:rsidR="004E7DAB" w:rsidRPr="009E1B91" w:rsidRDefault="004E7DAB" w:rsidP="002D055E">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761BC96" w14:textId="77777777" w:rsidR="004E7DAB" w:rsidRPr="009E1B91" w:rsidRDefault="004E7DAB" w:rsidP="002D055E">
            <w:pPr>
              <w:pStyle w:val="Normal1"/>
              <w:widowControl w:val="0"/>
              <w:rPr>
                <w:rFonts w:ascii="Gill Sans MT" w:hAnsi="Gill Sans MT"/>
                <w:sz w:val="24"/>
                <w:szCs w:val="24"/>
              </w:rPr>
            </w:pPr>
            <w:r w:rsidRPr="009E1B91">
              <w:rPr>
                <w:rFonts w:ascii="Gill Sans MT" w:hAnsi="Gill Sans MT"/>
                <w:sz w:val="24"/>
                <w:szCs w:val="24"/>
              </w:rPr>
              <w:t xml:space="preserve"> </w:t>
            </w:r>
          </w:p>
        </w:tc>
      </w:tr>
      <w:tr w:rsidR="004E7DAB" w:rsidRPr="009E1B91" w14:paraId="46D00273"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0BC30"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Analyze data</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715061EA" w14:textId="77777777" w:rsidR="004E7DAB" w:rsidRPr="009E1B91" w:rsidRDefault="004E7DAB" w:rsidP="002D055E">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33C93E1A" w14:textId="77777777" w:rsidR="004E7DAB" w:rsidRPr="009E1B91" w:rsidRDefault="004E7DAB" w:rsidP="002D055E">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4A603B18"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8C7E4C7"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7A0970F"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 xml:space="preserve"> </w:t>
            </w:r>
          </w:p>
        </w:tc>
      </w:tr>
      <w:tr w:rsidR="004E7DAB" w:rsidRPr="009E1B91" w14:paraId="3EF4B818"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AD41D"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Prepare report(s)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15A82A50" w14:textId="77777777" w:rsidR="004E7DAB" w:rsidRPr="009E1B91" w:rsidRDefault="004E7DAB" w:rsidP="002D055E">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6F6C075E" w14:textId="77777777" w:rsidR="004E7DAB" w:rsidRPr="009E1B91" w:rsidRDefault="004E7DAB" w:rsidP="002D055E">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E6385DB" w14:textId="77777777" w:rsidR="004E7DAB" w:rsidRPr="009E1B91" w:rsidRDefault="004E7DAB" w:rsidP="002D055E">
            <w:pPr>
              <w:pStyle w:val="Normal1"/>
              <w:widowControl w:val="0"/>
              <w:jc w:val="center"/>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B12DAD4"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D61E0AA"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 xml:space="preserve"> </w:t>
            </w:r>
          </w:p>
        </w:tc>
      </w:tr>
      <w:tr w:rsidR="004E7DAB" w:rsidRPr="009E1B91" w14:paraId="6C9BA757" w14:textId="77777777" w:rsidTr="002D055E">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73E7E" w14:textId="77777777" w:rsidR="004E7DAB" w:rsidRPr="009E1B91" w:rsidRDefault="004E7DAB" w:rsidP="002D055E">
            <w:pPr>
              <w:pStyle w:val="Normal1"/>
              <w:widowControl w:val="0"/>
              <w:ind w:left="525"/>
              <w:rPr>
                <w:rFonts w:ascii="Gill Sans MT" w:hAnsi="Gill Sans MT"/>
                <w:sz w:val="24"/>
                <w:szCs w:val="24"/>
              </w:rPr>
            </w:pPr>
            <w:r w:rsidRPr="009E1B91">
              <w:rPr>
                <w:rFonts w:ascii="Gill Sans MT" w:hAnsi="Gill Sans MT"/>
                <w:sz w:val="24"/>
                <w:szCs w:val="24"/>
              </w:rPr>
              <w:t>Disseminate findings / recommendations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14:paraId="41355671" w14:textId="77777777" w:rsidR="004E7DAB" w:rsidRPr="009E1B91" w:rsidRDefault="004E7DAB" w:rsidP="002D055E">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14:paraId="364211C1" w14:textId="77777777" w:rsidR="004E7DAB" w:rsidRPr="009E1B91" w:rsidRDefault="004E7DAB" w:rsidP="002D055E">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AFF7C0" w14:textId="77777777" w:rsidR="004E7DAB" w:rsidRPr="009E1B91" w:rsidRDefault="004E7DAB" w:rsidP="002D055E">
            <w:pPr>
              <w:pStyle w:val="Normal1"/>
              <w:widowControl w:val="0"/>
              <w:jc w:val="center"/>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CC04409" w14:textId="77777777" w:rsidR="004E7DAB" w:rsidRPr="009E1B91" w:rsidRDefault="004E7DAB" w:rsidP="002D055E">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6FEEB75" w14:textId="77777777" w:rsidR="004E7DAB" w:rsidRPr="009E1B91" w:rsidRDefault="004E7DAB" w:rsidP="002D055E">
            <w:pPr>
              <w:pStyle w:val="Normal1"/>
              <w:widowControl w:val="0"/>
              <w:jc w:val="center"/>
              <w:rPr>
                <w:rFonts w:ascii="Gill Sans MT" w:hAnsi="Gill Sans MT"/>
                <w:sz w:val="24"/>
                <w:szCs w:val="24"/>
              </w:rPr>
            </w:pPr>
            <w:r w:rsidRPr="009E1B91">
              <w:rPr>
                <w:rFonts w:ascii="Gill Sans MT" w:hAnsi="Gill Sans MT"/>
                <w:sz w:val="24"/>
                <w:szCs w:val="24"/>
              </w:rPr>
              <w:t>X</w:t>
            </w:r>
          </w:p>
        </w:tc>
      </w:tr>
    </w:tbl>
    <w:p w14:paraId="4D638371" w14:textId="1858CB9D" w:rsidR="009B133F" w:rsidRPr="00E84E9D" w:rsidRDefault="004E7DAB" w:rsidP="00E84E9D">
      <w:pPr>
        <w:spacing w:before="160" w:after="160" w:line="276" w:lineRule="auto"/>
        <w:rPr>
          <w:sz w:val="28"/>
        </w:rPr>
      </w:pPr>
      <w:r>
        <w:rPr>
          <w:b/>
          <w:sz w:val="28"/>
        </w:rPr>
        <w:t>Ethics Approval</w:t>
      </w:r>
      <w:r w:rsidR="00A54584">
        <w:rPr>
          <w:b/>
          <w:sz w:val="28"/>
        </w:rPr>
        <w:t xml:space="preserve"> </w:t>
      </w:r>
    </w:p>
    <w:p w14:paraId="053A04BC" w14:textId="77777777" w:rsidR="004E7DAB" w:rsidRPr="009E1B91" w:rsidRDefault="004E7DAB" w:rsidP="004E7DAB">
      <w:pPr>
        <w:pStyle w:val="Normal1"/>
        <w:widowControl w:val="0"/>
        <w:rPr>
          <w:rFonts w:ascii="Gill Sans MT" w:hAnsi="Gill Sans MT"/>
          <w:sz w:val="24"/>
          <w:szCs w:val="24"/>
        </w:rPr>
      </w:pPr>
      <w:r w:rsidRPr="009E1B91">
        <w:rPr>
          <w:rFonts w:ascii="Gill Sans MT" w:hAnsi="Gill Sans MT"/>
          <w:sz w:val="24"/>
          <w:szCs w:val="24"/>
        </w:rPr>
        <w:t xml:space="preserve">We have received approval for the baseline and endline assessment from the Institutional Review Board. </w:t>
      </w:r>
    </w:p>
    <w:sectPr w:rsidR="004E7DAB" w:rsidRPr="009E1B91" w:rsidSect="00703F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370E" w14:textId="77777777" w:rsidR="005F46EB" w:rsidRDefault="005F46EB">
      <w:r>
        <w:separator/>
      </w:r>
    </w:p>
    <w:p w14:paraId="1802E264" w14:textId="77777777" w:rsidR="005F46EB" w:rsidRDefault="005F46EB"/>
  </w:endnote>
  <w:endnote w:type="continuationSeparator" w:id="0">
    <w:p w14:paraId="2840A1CC" w14:textId="77777777" w:rsidR="005F46EB" w:rsidRDefault="005F46EB">
      <w:r>
        <w:continuationSeparator/>
      </w:r>
    </w:p>
    <w:p w14:paraId="528BCA01" w14:textId="77777777" w:rsidR="005F46EB" w:rsidRDefault="005F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61E0" w14:textId="77777777" w:rsidR="00F16AA8" w:rsidRDefault="00F1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207A2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6FADA4EC" w:rsidR="005F46EB" w:rsidRDefault="005F46EB">
        <w:pPr>
          <w:pStyle w:val="Footer"/>
          <w:jc w:val="right"/>
        </w:pPr>
        <w:r>
          <w:fldChar w:fldCharType="begin"/>
        </w:r>
        <w:r>
          <w:instrText xml:space="preserve"> PAGE   \* MERGEFORMAT </w:instrText>
        </w:r>
        <w:r>
          <w:fldChar w:fldCharType="separate"/>
        </w:r>
        <w:r w:rsidR="00207A2A">
          <w:rPr>
            <w:noProof/>
          </w:rPr>
          <w:t>1</w:t>
        </w:r>
        <w:r>
          <w:rPr>
            <w:noProof/>
          </w:rPr>
          <w:fldChar w:fldCharType="end"/>
        </w:r>
      </w:p>
    </w:sdtContent>
  </w:sdt>
  <w:p w14:paraId="3921D37F" w14:textId="77777777" w:rsidR="00F16AA8" w:rsidRPr="00F16AA8" w:rsidRDefault="00F16AA8" w:rsidP="00F16AA8">
    <w:pPr>
      <w:spacing w:after="0" w:line="240" w:lineRule="auto"/>
      <w:rPr>
        <w:rFonts w:ascii="Arial" w:eastAsia="Times New Roman" w:hAnsi="Arial" w:cs="Arial"/>
        <w:sz w:val="16"/>
        <w:szCs w:val="16"/>
        <w:lang w:eastAsia="en-US"/>
      </w:rPr>
    </w:pPr>
    <w:r w:rsidRPr="00F16AA8">
      <w:rPr>
        <w:rFonts w:ascii="Arial" w:eastAsia="Times New Roman" w:hAnsi="Arial" w:cs="Arial"/>
        <w:i/>
        <w:iCs/>
        <w:color w:val="000000"/>
        <w:sz w:val="16"/>
        <w:szCs w:val="16"/>
        <w:lang w:eastAsia="en-US"/>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F16AA8">
      <w:rPr>
        <w:rFonts w:ascii="Arial" w:eastAsia="Times New Roman" w:hAnsi="Arial" w:cs="Arial"/>
        <w:i/>
        <w:iCs/>
        <w:color w:val="000000"/>
        <w:sz w:val="16"/>
        <w:szCs w:val="16"/>
        <w:lang w:eastAsia="en-US"/>
      </w:rPr>
      <w:t>Amref</w:t>
    </w:r>
    <w:proofErr w:type="spellEnd"/>
    <w:r w:rsidRPr="00F16AA8">
      <w:rPr>
        <w:rFonts w:ascii="Arial" w:eastAsia="Times New Roman" w:hAnsi="Arial" w:cs="Arial"/>
        <w:i/>
        <w:iCs/>
        <w:color w:val="000000"/>
        <w:sz w:val="16"/>
        <w:szCs w:val="16"/>
        <w:lang w:eastAsia="en-US"/>
      </w:rPr>
      <w:t xml:space="preserve"> Health Africa, </w:t>
    </w:r>
    <w:proofErr w:type="spellStart"/>
    <w:r w:rsidRPr="00F16AA8">
      <w:rPr>
        <w:rFonts w:ascii="Arial" w:eastAsia="Times New Roman" w:hAnsi="Arial" w:cs="Arial"/>
        <w:i/>
        <w:iCs/>
        <w:color w:val="000000"/>
        <w:sz w:val="16"/>
        <w:szCs w:val="16"/>
        <w:lang w:eastAsia="en-US"/>
      </w:rPr>
      <w:t>Busara</w:t>
    </w:r>
    <w:proofErr w:type="spellEnd"/>
    <w:r w:rsidRPr="00F16AA8">
      <w:rPr>
        <w:rFonts w:ascii="Arial" w:eastAsia="Times New Roman" w:hAnsi="Arial" w:cs="Arial"/>
        <w:i/>
        <w:iCs/>
        <w:color w:val="000000"/>
        <w:sz w:val="16"/>
        <w:szCs w:val="16"/>
        <w:lang w:eastAsia="en-US"/>
      </w:rPr>
      <w:t xml:space="preserve"> Center for Behavioral Economics (</w:t>
    </w:r>
    <w:proofErr w:type="spellStart"/>
    <w:r w:rsidRPr="00F16AA8">
      <w:rPr>
        <w:rFonts w:ascii="Arial" w:eastAsia="Times New Roman" w:hAnsi="Arial" w:cs="Arial"/>
        <w:i/>
        <w:iCs/>
        <w:color w:val="000000"/>
        <w:sz w:val="16"/>
        <w:szCs w:val="16"/>
        <w:lang w:eastAsia="en-US"/>
      </w:rPr>
      <w:t>Busara</w:t>
    </w:r>
    <w:proofErr w:type="spellEnd"/>
    <w:r w:rsidRPr="00F16AA8">
      <w:rPr>
        <w:rFonts w:ascii="Arial" w:eastAsia="Times New Roman" w:hAnsi="Arial" w:cs="Arial"/>
        <w:i/>
        <w:iCs/>
        <w:color w:val="000000"/>
        <w:sz w:val="16"/>
        <w:szCs w:val="16"/>
        <w:lang w:eastAsia="en-US"/>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F16AA8">
        <w:rPr>
          <w:rFonts w:ascii="Arial" w:eastAsia="Times New Roman" w:hAnsi="Arial" w:cs="Arial"/>
          <w:i/>
          <w:iCs/>
          <w:color w:val="1155CC"/>
          <w:sz w:val="16"/>
          <w:szCs w:val="16"/>
          <w:u w:val="single"/>
          <w:lang w:eastAsia="en-US"/>
        </w:rPr>
        <w:t>www.kmtraining.org</w:t>
      </w:r>
    </w:hyperlink>
    <w:r w:rsidRPr="00F16AA8">
      <w:rPr>
        <w:rFonts w:ascii="Arial" w:eastAsia="Times New Roman" w:hAnsi="Arial" w:cs="Arial"/>
        <w:i/>
        <w:iCs/>
        <w:color w:val="000000"/>
        <w:sz w:val="16"/>
        <w:szCs w:val="16"/>
        <w:lang w:eastAsia="en-US"/>
      </w:rPr>
      <w:t>.</w:t>
    </w:r>
  </w:p>
  <w:p w14:paraId="6BE7372C" w14:textId="63907D3F" w:rsidR="005F46EB" w:rsidRPr="00092279" w:rsidRDefault="005F46EB" w:rsidP="00F16AA8">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E31E" w14:textId="77777777" w:rsidR="005F46EB" w:rsidRDefault="005F46EB">
      <w:r>
        <w:separator/>
      </w:r>
    </w:p>
    <w:p w14:paraId="66B0A76D" w14:textId="77777777" w:rsidR="005F46EB" w:rsidRDefault="005F46EB"/>
  </w:footnote>
  <w:footnote w:type="continuationSeparator" w:id="0">
    <w:p w14:paraId="6F0EA817" w14:textId="77777777" w:rsidR="005F46EB" w:rsidRDefault="005F46EB">
      <w:r>
        <w:continuationSeparator/>
      </w:r>
    </w:p>
    <w:p w14:paraId="20536535" w14:textId="77777777" w:rsidR="005F46EB" w:rsidRDefault="005F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AEE6" w14:textId="77777777" w:rsidR="00F16AA8" w:rsidRDefault="00F1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87D5E"/>
    <w:multiLevelType w:val="hybridMultilevel"/>
    <w:tmpl w:val="7FF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8"/>
  </w:num>
  <w:num w:numId="4">
    <w:abstractNumId w:val="12"/>
  </w:num>
  <w:num w:numId="5">
    <w:abstractNumId w:val="3"/>
  </w:num>
  <w:num w:numId="6">
    <w:abstractNumId w:val="7"/>
  </w:num>
  <w:num w:numId="7">
    <w:abstractNumId w:val="6"/>
  </w:num>
  <w:num w:numId="8">
    <w:abstractNumId w:val="10"/>
  </w:num>
  <w:num w:numId="9">
    <w:abstractNumId w:val="14"/>
  </w:num>
  <w:num w:numId="10">
    <w:abstractNumId w:val="9"/>
  </w:num>
  <w:num w:numId="11">
    <w:abstractNumId w:val="5"/>
  </w:num>
  <w:num w:numId="12">
    <w:abstractNumId w:val="13"/>
  </w:num>
  <w:num w:numId="13">
    <w:abstractNumId w:val="15"/>
  </w:num>
  <w:num w:numId="14">
    <w:abstractNumId w:val="17"/>
  </w:num>
  <w:num w:numId="15">
    <w:abstractNumId w:val="11"/>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07A2A"/>
    <w:rsid w:val="00250AA8"/>
    <w:rsid w:val="00263913"/>
    <w:rsid w:val="002A73BD"/>
    <w:rsid w:val="002D3A6B"/>
    <w:rsid w:val="003121B9"/>
    <w:rsid w:val="00313DB9"/>
    <w:rsid w:val="00332EA5"/>
    <w:rsid w:val="003D75BB"/>
    <w:rsid w:val="004D32EA"/>
    <w:rsid w:val="004E7DAB"/>
    <w:rsid w:val="004F118D"/>
    <w:rsid w:val="0055553D"/>
    <w:rsid w:val="005F46EB"/>
    <w:rsid w:val="006066FE"/>
    <w:rsid w:val="00681FE7"/>
    <w:rsid w:val="00703F2E"/>
    <w:rsid w:val="009763B6"/>
    <w:rsid w:val="009923BB"/>
    <w:rsid w:val="009B133F"/>
    <w:rsid w:val="009C3275"/>
    <w:rsid w:val="00A43205"/>
    <w:rsid w:val="00A54584"/>
    <w:rsid w:val="00AD26EC"/>
    <w:rsid w:val="00AE1D16"/>
    <w:rsid w:val="00C6377D"/>
    <w:rsid w:val="00CB3DCE"/>
    <w:rsid w:val="00CC2C5D"/>
    <w:rsid w:val="00D05E0A"/>
    <w:rsid w:val="00D904BF"/>
    <w:rsid w:val="00E84E9D"/>
    <w:rsid w:val="00E966B8"/>
    <w:rsid w:val="00EA051F"/>
    <w:rsid w:val="00EF16F0"/>
    <w:rsid w:val="00F16AA8"/>
    <w:rsid w:val="00F53B18"/>
    <w:rsid w:val="00F6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2628-C13A-014D-89AD-859CA421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4</cp:revision>
  <dcterms:created xsi:type="dcterms:W3CDTF">2017-11-13T02:12:00Z</dcterms:created>
  <dcterms:modified xsi:type="dcterms:W3CDTF">2021-07-13T17:56:00Z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