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B133F" w:rsidRPr="00E84E9D" w:rsidP="006066FE" w14:paraId="10F3C8A3" w14:textId="619F726A">
      <w:pPr>
        <w:pStyle w:val="Heading2"/>
        <w:keepNext w:val="0"/>
        <w:keepLines w:val="0"/>
        <w:widowControl w:val="0"/>
        <w:bidi w:val="0"/>
        <w:spacing w:after="120"/>
        <w:rPr>
          <w:sz w:val="40"/>
          <w:szCs w:val="32"/>
        </w:rPr>
      </w:pPr>
      <w:r>
        <w:rPr>
          <w:sz w:val="40"/>
          <w:szCs w:val="32"/>
          <w:rtl w:val="0"/>
          <w:lang w:val="fr"/>
        </w:rPr>
        <w:t>Exemple :</w:t>
        <w:br/>
        <w:t xml:space="preserve"> Note conceptuelle </w:t>
      </w:r>
    </w:p>
    <w:p w:rsidR="009B133F" w:rsidRPr="00E84E9D" w:rsidP="00E84E9D" w14:paraId="1829E4FF" w14:textId="4879BB1C">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4E7DAB" w:rsidRPr="009E1B91" w:rsidP="004E7DAB" w14:paraId="7E70187B" w14:textId="3683F78A">
      <w:pPr>
        <w:pStyle w:val="Normal1"/>
        <w:widowControl w:val="0"/>
        <w:numPr>
          <w:ilvl w:val="0"/>
          <w:numId w:val="14"/>
        </w:numPr>
        <w:bidi w:val="0"/>
        <w:ind w:hanging="360"/>
        <w:rPr>
          <w:rFonts w:ascii="Gill Sans MT" w:hAnsi="Gill Sans MT"/>
          <w:sz w:val="24"/>
          <w:szCs w:val="24"/>
        </w:rPr>
      </w:pPr>
      <w:r>
        <w:rPr>
          <w:rFonts w:ascii="Gill Sans MT" w:hAnsi="Gill Sans MT"/>
          <w:sz w:val="24"/>
          <w:szCs w:val="24"/>
          <w:rtl w:val="0"/>
          <w:lang w:val="fr"/>
        </w:rPr>
        <w:t xml:space="preserve">Comprendre le processus, les obstacles et les facilitateurs de l'échange de connaissances. </w:t>
      </w:r>
    </w:p>
    <w:p w:rsidR="004E7DAB" w:rsidRPr="009E1B91" w:rsidP="004E7DAB" w14:paraId="2D681DD2" w14:textId="717C7D7E">
      <w:pPr>
        <w:pStyle w:val="Normal1"/>
        <w:widowControl w:val="0"/>
        <w:numPr>
          <w:ilvl w:val="0"/>
          <w:numId w:val="14"/>
        </w:numPr>
        <w:bidi w:val="0"/>
        <w:ind w:hanging="360"/>
        <w:rPr>
          <w:rFonts w:ascii="Gill Sans MT" w:hAnsi="Gill Sans MT"/>
          <w:sz w:val="24"/>
          <w:szCs w:val="24"/>
        </w:rPr>
      </w:pPr>
      <w:r>
        <w:rPr>
          <w:rFonts w:ascii="Gill Sans MT" w:hAnsi="Gill Sans MT"/>
          <w:sz w:val="24"/>
          <w:szCs w:val="24"/>
          <w:rtl w:val="0"/>
          <w:lang w:val="fr"/>
        </w:rPr>
        <w:t xml:space="preserve">Identifier les plateformes existantes qui sont utilisées pour l'échange de connaissances. </w:t>
      </w:r>
    </w:p>
    <w:p w:rsidR="004E7DAB" w:rsidRPr="009E1B91" w:rsidP="004E7DAB" w14:paraId="0E4CD3F0" w14:textId="757F3E39">
      <w:pPr>
        <w:pStyle w:val="Normal1"/>
        <w:widowControl w:val="0"/>
        <w:numPr>
          <w:ilvl w:val="0"/>
          <w:numId w:val="14"/>
        </w:numPr>
        <w:bidi w:val="0"/>
        <w:ind w:hanging="360"/>
        <w:rPr>
          <w:rFonts w:ascii="Gill Sans MT" w:hAnsi="Gill Sans MT"/>
          <w:sz w:val="24"/>
          <w:szCs w:val="24"/>
        </w:rPr>
      </w:pPr>
      <w:r w:rsidRPr="009E1B91">
        <w:rPr>
          <w:rFonts w:ascii="Gill Sans MT" w:hAnsi="Gill Sans MT"/>
          <w:sz w:val="24"/>
          <w:szCs w:val="24"/>
          <w:rtl w:val="0"/>
          <w:lang w:val="fr"/>
        </w:rPr>
        <w:t xml:space="preserve">Utiliser les résultats de l'évaluation pour informer les activités de gestion des connaissances afin de renforcer l'échange de connaissances. </w:t>
      </w:r>
    </w:p>
    <w:p w:rsidR="009B133F" w:rsidRPr="00E84E9D" w:rsidP="00E84E9D" w14:paraId="692DFC1E" w14:textId="46143C7F">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Contexte et justification</w:t>
      </w:r>
    </w:p>
    <w:p w:rsidR="004E7DAB" w:rsidRPr="009E1B91" w:rsidP="004E7DAB" w14:paraId="4898CF80"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Afin de mettre en œuvre, de suivre et d'évaluer efficacement les activités de GC proposées, la collecte de données supplémentaires sera essentielle pour documenter et comparer systématiquement les progrès avant et après la mise en œuvre du projet.</w:t>
      </w:r>
    </w:p>
    <w:p w:rsidR="009B133F" w:rsidRPr="00E84E9D" w:rsidP="00E84E9D" w14:paraId="6196BD53" w14:textId="79DF7D15">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Méthodologie</w:t>
      </w:r>
    </w:p>
    <w:p w:rsidR="004E7DAB" w:rsidRPr="009E1B91" w:rsidP="004E7DAB" w14:paraId="3D3513C7" w14:textId="3050EF2D">
      <w:pPr>
        <w:pStyle w:val="Normal1"/>
        <w:widowControl w:val="0"/>
        <w:bidi w:val="0"/>
        <w:spacing w:after="120"/>
        <w:rPr>
          <w:rFonts w:ascii="Gill Sans MT" w:hAnsi="Gill Sans MT"/>
          <w:sz w:val="24"/>
          <w:szCs w:val="24"/>
        </w:rPr>
      </w:pPr>
      <w:r w:rsidRPr="009E1B91">
        <w:rPr>
          <w:rFonts w:ascii="Gill Sans MT" w:hAnsi="Gill Sans MT"/>
          <w:sz w:val="24"/>
          <w:szCs w:val="24"/>
          <w:rtl w:val="0"/>
          <w:lang w:val="fr"/>
        </w:rPr>
        <w:t xml:space="preserve">Nous utiliserons des méthodes qualitatives et quantitatives afin d'acquérir une compréhension meilleure et plus complète des différents domaines abordés par le projet. La collecte de données comprend des éléments quantitatifs et qualitatifs pour améliorer et valider les résultats. </w:t>
      </w:r>
    </w:p>
    <w:tbl>
      <w:tblPr>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20"/>
        <w:gridCol w:w="2610"/>
        <w:gridCol w:w="3420"/>
        <w:gridCol w:w="1615"/>
      </w:tblGrid>
      <w:tr w14:paraId="4D29B8AB" w14:textId="77777777" w:rsidTr="004E7DAB">
        <w:tblPrEx>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1720" w:type="dxa"/>
            <w:shd w:val="clear" w:color="auto" w:fill="007EA5"/>
            <w:tcMar>
              <w:top w:w="100" w:type="dxa"/>
              <w:left w:w="100" w:type="dxa"/>
              <w:bottom w:w="100" w:type="dxa"/>
              <w:right w:w="100" w:type="dxa"/>
            </w:tcMar>
          </w:tcPr>
          <w:p w:rsidR="004E7DAB" w:rsidRPr="004E7DAB" w:rsidP="002D055E" w14:paraId="0B55C6D5" w14:textId="77777777">
            <w:pPr>
              <w:pStyle w:val="Normal1"/>
              <w:widowControl w:val="0"/>
              <w:bidi w:val="0"/>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Instrument</w:t>
            </w:r>
          </w:p>
        </w:tc>
        <w:tc>
          <w:tcPr>
            <w:tcW w:w="2610" w:type="dxa"/>
            <w:shd w:val="clear" w:color="auto" w:fill="007EA5"/>
            <w:tcMar>
              <w:top w:w="100" w:type="dxa"/>
              <w:left w:w="100" w:type="dxa"/>
              <w:bottom w:w="100" w:type="dxa"/>
              <w:right w:w="100" w:type="dxa"/>
            </w:tcMar>
          </w:tcPr>
          <w:p w:rsidR="004E7DAB" w:rsidRPr="004E7DAB" w:rsidP="002D055E" w14:paraId="74B9A068" w14:textId="77777777">
            <w:pPr>
              <w:pStyle w:val="Normal1"/>
              <w:widowControl w:val="0"/>
              <w:bidi w:val="0"/>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Conception</w:t>
            </w:r>
          </w:p>
        </w:tc>
        <w:tc>
          <w:tcPr>
            <w:tcW w:w="3420" w:type="dxa"/>
            <w:shd w:val="clear" w:color="auto" w:fill="007EA5"/>
            <w:tcMar>
              <w:top w:w="100" w:type="dxa"/>
              <w:left w:w="100" w:type="dxa"/>
              <w:bottom w:w="100" w:type="dxa"/>
              <w:right w:w="100" w:type="dxa"/>
            </w:tcMar>
          </w:tcPr>
          <w:p w:rsidR="004E7DAB" w:rsidRPr="004E7DAB" w:rsidP="002D055E" w14:paraId="104BBD7B" w14:textId="77777777">
            <w:pPr>
              <w:pStyle w:val="Normal1"/>
              <w:widowControl w:val="0"/>
              <w:bidi w:val="0"/>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 xml:space="preserve">Participants </w:t>
            </w:r>
          </w:p>
        </w:tc>
        <w:tc>
          <w:tcPr>
            <w:tcW w:w="1615" w:type="dxa"/>
            <w:shd w:val="clear" w:color="auto" w:fill="007EA5"/>
            <w:tcMar>
              <w:top w:w="100" w:type="dxa"/>
              <w:left w:w="100" w:type="dxa"/>
              <w:bottom w:w="100" w:type="dxa"/>
              <w:right w:w="100" w:type="dxa"/>
            </w:tcMar>
          </w:tcPr>
          <w:p w:rsidR="004E7DAB" w:rsidRPr="004E7DAB" w:rsidP="002D055E" w14:paraId="44B0C95C" w14:textId="77777777">
            <w:pPr>
              <w:pStyle w:val="Normal1"/>
              <w:widowControl w:val="0"/>
              <w:bidi w:val="0"/>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Domaines</w:t>
            </w:r>
          </w:p>
        </w:tc>
      </w:tr>
      <w:tr w14:paraId="54D2FCB2" w14:textId="77777777" w:rsidTr="004E7DAB">
        <w:tblPrEx>
          <w:tblW w:w="9365" w:type="dxa"/>
          <w:tblLayout w:type="fixed"/>
          <w:tblLook w:val="0600"/>
        </w:tblPrEx>
        <w:tc>
          <w:tcPr>
            <w:tcW w:w="1720" w:type="dxa"/>
            <w:shd w:val="clear" w:color="auto" w:fill="auto"/>
            <w:tcMar>
              <w:top w:w="100" w:type="dxa"/>
              <w:left w:w="100" w:type="dxa"/>
              <w:bottom w:w="100" w:type="dxa"/>
              <w:right w:w="100" w:type="dxa"/>
            </w:tcMar>
          </w:tcPr>
          <w:p w:rsidR="004E7DAB" w:rsidRPr="009E1B91" w:rsidP="002D055E" w14:paraId="549E67B0"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Guide d'entretien avec les informateurs clés (KII)</w:t>
            </w:r>
          </w:p>
          <w:p w:rsidR="004E7DAB" w:rsidRPr="009E1B91" w:rsidP="002D055E" w14:paraId="5BFCB688" w14:textId="77777777">
            <w:pPr>
              <w:pStyle w:val="Normal1"/>
              <w:widowControl w:val="0"/>
              <w:rPr>
                <w:rFonts w:ascii="Gill Sans MT" w:hAnsi="Gill Sans MT"/>
                <w:sz w:val="24"/>
                <w:szCs w:val="24"/>
              </w:rPr>
            </w:pPr>
          </w:p>
          <w:p w:rsidR="004E7DAB" w:rsidRPr="009E1B91" w:rsidP="002D055E" w14:paraId="08F37951" w14:textId="77777777">
            <w:pPr>
              <w:pStyle w:val="Normal1"/>
              <w:widowControl w:val="0"/>
              <w:rPr>
                <w:rFonts w:ascii="Gill Sans MT" w:hAnsi="Gill Sans MT"/>
                <w:sz w:val="24"/>
                <w:szCs w:val="24"/>
              </w:rPr>
            </w:pPr>
          </w:p>
        </w:tc>
        <w:tc>
          <w:tcPr>
            <w:tcW w:w="2610" w:type="dxa"/>
            <w:shd w:val="clear" w:color="auto" w:fill="auto"/>
            <w:tcMar>
              <w:top w:w="100" w:type="dxa"/>
              <w:left w:w="100" w:type="dxa"/>
              <w:bottom w:w="100" w:type="dxa"/>
              <w:right w:w="100" w:type="dxa"/>
            </w:tcMar>
          </w:tcPr>
          <w:p w:rsidR="004E7DAB" w:rsidRPr="009E1B91" w:rsidP="002D055E" w14:paraId="7F81E034" w14:textId="28ADD855">
            <w:pPr>
              <w:pStyle w:val="Normal1"/>
              <w:widowControl w:val="0"/>
              <w:bidi w:val="0"/>
              <w:rPr>
                <w:rFonts w:ascii="Gill Sans MT" w:hAnsi="Gill Sans MT"/>
                <w:sz w:val="24"/>
                <w:szCs w:val="24"/>
              </w:rPr>
            </w:pPr>
            <w:r w:rsidRPr="009E1B91">
              <w:rPr>
                <w:rFonts w:ascii="Gill Sans MT" w:hAnsi="Gill Sans MT"/>
                <w:sz w:val="24"/>
                <w:szCs w:val="24"/>
                <w:rtl w:val="0"/>
                <w:lang w:val="fr"/>
              </w:rPr>
              <w:t xml:space="preserve">Instrument mixte, quantitatif et qualitatif : principalement des questions ouvertes mais aussi des questions ouvertes pour la validation des données. </w:t>
            </w:r>
          </w:p>
          <w:p w:rsidR="004E7DAB" w:rsidRPr="009E1B91" w:rsidP="002D055E" w14:paraId="34832B8B" w14:textId="77777777">
            <w:pPr>
              <w:pStyle w:val="Normal1"/>
              <w:widowControl w:val="0"/>
              <w:rPr>
                <w:rFonts w:ascii="Gill Sans MT" w:hAnsi="Gill Sans MT"/>
                <w:sz w:val="24"/>
                <w:szCs w:val="24"/>
              </w:rPr>
            </w:pPr>
          </w:p>
          <w:p w:rsidR="004E7DAB" w:rsidRPr="009E1B91" w:rsidP="002D055E" w14:paraId="272A48B1" w14:textId="77777777">
            <w:pPr>
              <w:pStyle w:val="Normal1"/>
              <w:widowControl w:val="0"/>
              <w:rPr>
                <w:rFonts w:ascii="Gill Sans MT" w:hAnsi="Gill Sans MT"/>
                <w:sz w:val="24"/>
                <w:szCs w:val="24"/>
              </w:rPr>
            </w:pPr>
          </w:p>
        </w:tc>
        <w:tc>
          <w:tcPr>
            <w:tcW w:w="3420" w:type="dxa"/>
            <w:shd w:val="clear" w:color="auto" w:fill="auto"/>
            <w:tcMar>
              <w:top w:w="100" w:type="dxa"/>
              <w:left w:w="100" w:type="dxa"/>
              <w:bottom w:w="100" w:type="dxa"/>
              <w:right w:w="100" w:type="dxa"/>
            </w:tcMar>
          </w:tcPr>
          <w:p w:rsidR="004E7DAB" w:rsidRPr="009E1B91" w:rsidP="002D055E" w14:paraId="7D401E2C" w14:textId="3915594D">
            <w:pPr>
              <w:pStyle w:val="Normal1"/>
              <w:widowControl w:val="0"/>
              <w:bidi w:val="0"/>
              <w:rPr>
                <w:rFonts w:ascii="Gill Sans MT" w:hAnsi="Gill Sans MT"/>
                <w:sz w:val="24"/>
                <w:szCs w:val="24"/>
              </w:rPr>
            </w:pPr>
            <w:r w:rsidRPr="009E1B91">
              <w:rPr>
                <w:rFonts w:ascii="Gill Sans MT" w:hAnsi="Gill Sans MT"/>
                <w:sz w:val="24"/>
                <w:szCs w:val="24"/>
                <w:rtl w:val="0"/>
                <w:lang w:val="fr"/>
              </w:rPr>
              <w:t>Les participants comprendront :</w:t>
            </w:r>
          </w:p>
          <w:p w:rsidR="004E7DAB" w:rsidRPr="009E1B91" w:rsidP="004E7DAB" w14:paraId="1FD281B6" w14:textId="77777777">
            <w:pPr>
              <w:pStyle w:val="Normal1"/>
              <w:widowControl w:val="0"/>
              <w:numPr>
                <w:ilvl w:val="0"/>
                <w:numId w:val="15"/>
              </w:numPr>
              <w:bidi w:val="0"/>
              <w:ind w:left="235" w:hanging="180"/>
              <w:rPr>
                <w:rFonts w:ascii="Gill Sans MT" w:hAnsi="Gill Sans MT"/>
                <w:sz w:val="24"/>
                <w:szCs w:val="24"/>
              </w:rPr>
            </w:pPr>
            <w:r w:rsidRPr="009E1B91">
              <w:rPr>
                <w:rFonts w:ascii="Gill Sans MT" w:hAnsi="Gill Sans MT"/>
                <w:sz w:val="24"/>
                <w:szCs w:val="24"/>
                <w:rtl w:val="0"/>
                <w:lang w:val="fr"/>
              </w:rPr>
              <w:t>Directeurs</w:t>
            </w:r>
          </w:p>
          <w:p w:rsidR="004E7DAB" w:rsidRPr="009E1B91" w:rsidP="004E7DAB" w14:paraId="69C6E32E" w14:textId="77777777">
            <w:pPr>
              <w:pStyle w:val="Normal1"/>
              <w:widowControl w:val="0"/>
              <w:numPr>
                <w:ilvl w:val="0"/>
                <w:numId w:val="15"/>
              </w:numPr>
              <w:bidi w:val="0"/>
              <w:ind w:left="235" w:hanging="180"/>
              <w:rPr>
                <w:rFonts w:ascii="Gill Sans MT" w:hAnsi="Gill Sans MT"/>
                <w:sz w:val="24"/>
                <w:szCs w:val="24"/>
              </w:rPr>
            </w:pPr>
            <w:r w:rsidRPr="009E1B91">
              <w:rPr>
                <w:rFonts w:ascii="Gill Sans MT" w:hAnsi="Gill Sans MT"/>
                <w:sz w:val="24"/>
                <w:szCs w:val="24"/>
                <w:rtl w:val="0"/>
                <w:lang w:val="fr"/>
              </w:rPr>
              <w:t>Responsable de programme</w:t>
            </w:r>
          </w:p>
          <w:p w:rsidR="004E7DAB" w:rsidRPr="009E1B91" w:rsidP="002D055E" w14:paraId="0E06412B" w14:textId="77777777">
            <w:pPr>
              <w:pStyle w:val="Normal1"/>
              <w:widowControl w:val="0"/>
              <w:rPr>
                <w:rFonts w:ascii="Gill Sans MT" w:hAnsi="Gill Sans MT"/>
                <w:sz w:val="24"/>
                <w:szCs w:val="24"/>
              </w:rPr>
            </w:pPr>
          </w:p>
          <w:p w:rsidR="004E7DAB" w:rsidRPr="009E1B91" w:rsidP="002D055E" w14:paraId="20FEBFDA"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 xml:space="preserve">Environ ___ participants </w:t>
            </w:r>
          </w:p>
          <w:p w:rsidR="004E7DAB" w:rsidRPr="009E1B91" w:rsidP="002D055E" w14:paraId="6812CEA2" w14:textId="77777777">
            <w:pPr>
              <w:pStyle w:val="Normal1"/>
              <w:widowControl w:val="0"/>
              <w:rPr>
                <w:rFonts w:ascii="Gill Sans MT" w:hAnsi="Gill Sans MT"/>
                <w:sz w:val="24"/>
                <w:szCs w:val="24"/>
              </w:rPr>
            </w:pPr>
          </w:p>
          <w:p w:rsidR="004E7DAB" w:rsidRPr="009E1B91" w:rsidP="002D055E" w14:paraId="348DFEC9"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 xml:space="preserve">Les entretiens dureront environ 30 à 45 minutes par personne. </w:t>
            </w:r>
          </w:p>
        </w:tc>
        <w:tc>
          <w:tcPr>
            <w:tcW w:w="1615" w:type="dxa"/>
            <w:shd w:val="clear" w:color="auto" w:fill="FFFFFF"/>
            <w:tcMar>
              <w:top w:w="100" w:type="dxa"/>
              <w:left w:w="100" w:type="dxa"/>
              <w:bottom w:w="100" w:type="dxa"/>
              <w:right w:w="100" w:type="dxa"/>
            </w:tcMar>
          </w:tcPr>
          <w:p w:rsidR="004E7DAB" w:rsidRPr="009E1B91" w:rsidP="002D055E" w14:paraId="46742801"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Portée</w:t>
            </w:r>
          </w:p>
          <w:p w:rsidR="004E7DAB" w:rsidRPr="009E1B91" w:rsidP="002D055E" w14:paraId="712F9709"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 xml:space="preserve">Engagement </w:t>
            </w:r>
          </w:p>
          <w:p w:rsidR="004E7DAB" w:rsidRPr="009E1B91" w:rsidP="002D055E" w14:paraId="49C22AF5"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Utilité</w:t>
            </w:r>
          </w:p>
          <w:p w:rsidR="004E7DAB" w:rsidRPr="009E1B91" w:rsidP="002D055E" w14:paraId="38F6C80E"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Apprentissage</w:t>
            </w:r>
          </w:p>
          <w:p w:rsidR="004E7DAB" w:rsidRPr="009E1B91" w:rsidP="002D055E" w14:paraId="6E658CC3"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Action</w:t>
            </w:r>
          </w:p>
          <w:p w:rsidR="004E7DAB" w:rsidRPr="009E1B91" w:rsidP="002D055E" w14:paraId="48D60036"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Collaboration</w:t>
            </w:r>
          </w:p>
        </w:tc>
      </w:tr>
    </w:tbl>
    <w:p w:rsidR="009B133F" w:rsidRPr="00E84E9D" w:rsidP="00E84E9D" w14:paraId="22C22D6D" w14:textId="0C689E4A">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Processus à suivre</w:t>
      </w:r>
    </w:p>
    <w:p w:rsidR="004E7DAB" w:rsidRPr="009E1B91" w:rsidP="004E7DAB" w14:paraId="48D9D785"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Avant l'évaluation</w:t>
      </w:r>
    </w:p>
    <w:p w:rsidR="004E7DAB" w:rsidRPr="009E1B91" w:rsidP="004E7DAB" w14:paraId="682DE58D" w14:textId="77777777">
      <w:pPr>
        <w:pStyle w:val="Normal1"/>
        <w:widowControl w:val="0"/>
        <w:numPr>
          <w:ilvl w:val="0"/>
          <w:numId w:val="17"/>
        </w:numPr>
        <w:bidi w:val="0"/>
        <w:rPr>
          <w:rFonts w:ascii="Gill Sans MT" w:hAnsi="Gill Sans MT"/>
          <w:sz w:val="24"/>
          <w:szCs w:val="24"/>
        </w:rPr>
      </w:pPr>
      <w:r w:rsidRPr="009E1B91">
        <w:rPr>
          <w:rFonts w:ascii="Gill Sans MT" w:hAnsi="Gill Sans MT"/>
          <w:sz w:val="24"/>
          <w:szCs w:val="24"/>
          <w:rtl w:val="0"/>
          <w:lang w:val="fr"/>
        </w:rPr>
        <w:t>Identifiez une personne de référence.</w:t>
      </w:r>
    </w:p>
    <w:p w:rsidR="004E7DAB" w:rsidRPr="009E1B91" w:rsidP="004E7DAB" w14:paraId="43CC4311" w14:textId="77777777">
      <w:pPr>
        <w:pStyle w:val="Normal1"/>
        <w:widowControl w:val="0"/>
        <w:numPr>
          <w:ilvl w:val="0"/>
          <w:numId w:val="17"/>
        </w:numPr>
        <w:bidi w:val="0"/>
        <w:rPr>
          <w:rFonts w:ascii="Gill Sans MT" w:hAnsi="Gill Sans MT"/>
          <w:sz w:val="24"/>
          <w:szCs w:val="24"/>
        </w:rPr>
      </w:pPr>
      <w:r w:rsidRPr="009E1B91">
        <w:rPr>
          <w:rFonts w:ascii="Gill Sans MT" w:hAnsi="Gill Sans MT"/>
          <w:sz w:val="24"/>
          <w:szCs w:val="24"/>
          <w:rtl w:val="0"/>
          <w:lang w:val="fr"/>
        </w:rPr>
        <w:t xml:space="preserve">La personne de contact s'assurera que les rendez-vous sont fixés avec les personnes interrogées. </w:t>
      </w:r>
    </w:p>
    <w:p w:rsidR="004E7DAB" w:rsidRPr="004E7DAB" w:rsidP="004E7DAB" w14:paraId="3C0BF1DF" w14:textId="0AD1E62A">
      <w:pPr>
        <w:pStyle w:val="Normal1"/>
        <w:widowControl w:val="0"/>
        <w:numPr>
          <w:ilvl w:val="0"/>
          <w:numId w:val="17"/>
        </w:numPr>
        <w:bidi w:val="0"/>
        <w:rPr>
          <w:rFonts w:ascii="Gill Sans MT" w:hAnsi="Gill Sans MT"/>
          <w:sz w:val="24"/>
          <w:szCs w:val="24"/>
        </w:rPr>
      </w:pPr>
      <w:r w:rsidRPr="009E1B91">
        <w:rPr>
          <w:rFonts w:ascii="Gill Sans MT" w:hAnsi="Gill Sans MT"/>
          <w:sz w:val="24"/>
          <w:szCs w:val="24"/>
          <w:rtl w:val="0"/>
          <w:lang w:val="fr"/>
        </w:rPr>
        <w:t>La personne focale et Knowledge SUCCESS organiseront une réunion d'information avant la collecte des données et une réunion récapitulative directement après la collecte des données avec le personnel clé du ministère de la Santé.</w:t>
      </w:r>
    </w:p>
    <w:p w:rsidR="004E7DAB" w:rsidRPr="009E1B91" w:rsidP="004E7DAB" w14:paraId="314AC62A"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Pendant l'évaluation</w:t>
      </w:r>
    </w:p>
    <w:p w:rsidR="004E7DAB" w:rsidRPr="009E1B91" w:rsidP="004E7DAB" w14:paraId="1CA0FE0B" w14:textId="77777777">
      <w:pPr>
        <w:pStyle w:val="Normal1"/>
        <w:widowControl w:val="0"/>
        <w:numPr>
          <w:ilvl w:val="0"/>
          <w:numId w:val="18"/>
        </w:numPr>
        <w:bidi w:val="0"/>
        <w:rPr>
          <w:rFonts w:ascii="Gill Sans MT" w:hAnsi="Gill Sans MT"/>
          <w:sz w:val="24"/>
          <w:szCs w:val="24"/>
        </w:rPr>
      </w:pPr>
      <w:r w:rsidRPr="009E1B91">
        <w:rPr>
          <w:rFonts w:ascii="Gill Sans MT" w:hAnsi="Gill Sans MT"/>
          <w:sz w:val="24"/>
          <w:szCs w:val="24"/>
          <w:rtl w:val="0"/>
          <w:lang w:val="fr"/>
        </w:rPr>
        <w:t>Organisez une réunion d'information (1 heure) avec le personnel clé avant de procéder à la collecte des données.</w:t>
      </w:r>
    </w:p>
    <w:p w:rsidR="004E7DAB" w:rsidRPr="009E1B91" w:rsidP="004E7DAB" w14:paraId="673EBC18" w14:textId="77777777">
      <w:pPr>
        <w:pStyle w:val="Normal1"/>
        <w:widowControl w:val="0"/>
        <w:numPr>
          <w:ilvl w:val="0"/>
          <w:numId w:val="18"/>
        </w:numPr>
        <w:bidi w:val="0"/>
        <w:rPr>
          <w:rFonts w:ascii="Gill Sans MT" w:hAnsi="Gill Sans MT"/>
          <w:sz w:val="24"/>
          <w:szCs w:val="24"/>
        </w:rPr>
      </w:pPr>
      <w:r w:rsidRPr="009E1B91">
        <w:rPr>
          <w:rFonts w:ascii="Gill Sans MT" w:hAnsi="Gill Sans MT"/>
          <w:sz w:val="24"/>
          <w:szCs w:val="24"/>
          <w:rtl w:val="0"/>
          <w:lang w:val="fr"/>
        </w:rPr>
        <w:t>Réaliser la collecte des données</w:t>
      </w:r>
    </w:p>
    <w:p w:rsidR="004E7DAB" w:rsidRPr="009E1B91" w:rsidP="004E7DAB" w14:paraId="6CC2C539" w14:textId="77777777">
      <w:pPr>
        <w:pStyle w:val="Normal1"/>
        <w:widowControl w:val="0"/>
        <w:numPr>
          <w:ilvl w:val="0"/>
          <w:numId w:val="18"/>
        </w:numPr>
        <w:bidi w:val="0"/>
        <w:rPr>
          <w:rFonts w:ascii="Gill Sans MT" w:hAnsi="Gill Sans MT"/>
          <w:sz w:val="24"/>
          <w:szCs w:val="24"/>
        </w:rPr>
      </w:pPr>
      <w:r w:rsidRPr="009E1B91">
        <w:rPr>
          <w:rFonts w:ascii="Gill Sans MT" w:hAnsi="Gill Sans MT"/>
          <w:sz w:val="24"/>
          <w:szCs w:val="24"/>
          <w:rtl w:val="0"/>
          <w:lang w:val="fr"/>
        </w:rPr>
        <w:t>Organiser une réunion récapitulative avec le personnel après la collecte des données.</w:t>
      </w:r>
    </w:p>
    <w:p w:rsidR="009B133F" w:rsidRPr="00E84E9D" w:rsidP="00E84E9D" w14:paraId="004F1A29" w14:textId="4F978E7F">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Recrutement</w:t>
      </w:r>
    </w:p>
    <w:p w:rsidR="004E7DAB" w:rsidP="004E7DAB" w14:paraId="2964E885"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 xml:space="preserve">La personne de contact enverra une lettre d'invitation. </w:t>
      </w:r>
    </w:p>
    <w:p w:rsidR="004E7DAB" w:rsidRPr="00E84E9D" w:rsidP="004E7DAB" w14:paraId="7897A09E" w14:textId="7288B308">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Analyse des données</w:t>
      </w:r>
    </w:p>
    <w:p w:rsidR="004E7DAB" w:rsidP="004E7DAB" w14:paraId="49C7C511" w14:textId="77777777">
      <w:pPr>
        <w:bidi w:val="0"/>
        <w:spacing w:before="160" w:after="160" w:line="276" w:lineRule="auto"/>
        <w:rPr>
          <w:szCs w:val="24"/>
        </w:rPr>
      </w:pPr>
      <w:r w:rsidRPr="009E1B91">
        <w:rPr>
          <w:szCs w:val="24"/>
          <w:rtl w:val="0"/>
          <w:lang w:val="fr"/>
        </w:rPr>
        <w:t xml:space="preserve">Les données seront analysées en utilisant Atlas.ti et Excel pour identifier les thèmes communs. </w:t>
      </w:r>
    </w:p>
    <w:p w:rsidR="004E7DAB" w:rsidRPr="00E84E9D" w:rsidP="004E7DAB" w14:paraId="779D7323" w14:textId="6A3E6787">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Utilisation des résultats</w:t>
      </w:r>
    </w:p>
    <w:p w:rsidR="004E7DAB" w:rsidRPr="009E1B91" w:rsidP="004E7DAB" w14:paraId="69122189" w14:textId="7716A0FF">
      <w:pPr>
        <w:pStyle w:val="Normal1"/>
        <w:widowControl w:val="0"/>
        <w:bidi w:val="0"/>
        <w:rPr>
          <w:rFonts w:ascii="Gill Sans MT" w:hAnsi="Gill Sans MT"/>
          <w:sz w:val="24"/>
          <w:szCs w:val="24"/>
        </w:rPr>
      </w:pPr>
      <w:r w:rsidRPr="009E1B91">
        <w:rPr>
          <w:rFonts w:ascii="Gill Sans MT" w:hAnsi="Gill Sans MT"/>
          <w:sz w:val="24"/>
          <w:szCs w:val="24"/>
          <w:rtl w:val="0"/>
          <w:lang w:val="fr"/>
        </w:rPr>
        <w:t>Les résultats seront utilisés pour informer les activités de GC afin de renforcer l'échange de connaissances.</w:t>
      </w:r>
    </w:p>
    <w:p w:rsidR="009B133F" w:rsidRPr="00E84E9D" w:rsidP="00E84E9D" w14:paraId="5C6D355E" w14:textId="2C19A2FE">
      <w:pPr>
        <w:widowControl w:val="0"/>
        <w:bidi w:val="0"/>
        <w:spacing w:before="160" w:after="160" w:line="276" w:lineRule="auto"/>
        <w:rPr>
          <w:sz w:val="28"/>
        </w:rPr>
      </w:pPr>
      <w:r>
        <w:rPr>
          <w:b/>
          <w:sz w:val="28"/>
          <w:szCs w:val="24"/>
          <w:rtl w:val="0"/>
          <w:lang w:val="fr"/>
        </w:rPr>
        <w:t>Calendrier</w:t>
      </w:r>
    </w:p>
    <w:p w:rsidR="004E7DAB" w:rsidP="00E84E9D" w14:paraId="4BF1919F" w14:textId="2018AD19">
      <w:pPr>
        <w:bidi w:val="0"/>
        <w:spacing w:before="160" w:after="160" w:line="276" w:lineRule="auto"/>
        <w:rPr>
          <w:szCs w:val="24"/>
        </w:rPr>
      </w:pPr>
      <w:r w:rsidRPr="009E1B91">
        <w:rPr>
          <w:szCs w:val="24"/>
          <w:rtl w:val="0"/>
          <w:lang w:val="fr"/>
        </w:rPr>
        <w:t xml:space="preserve">La collecte des données aura lieu entre avril et mai 2021. Le calendrier ci-dessous est illustratif. </w:t>
      </w:r>
    </w:p>
    <w:p w:rsidR="009B133F" w:rsidP="00E84E9D" w14:paraId="6EF351A5" w14:textId="6FD19625">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Calendrier de la collecte des données par mois</w:t>
      </w:r>
    </w:p>
    <w:tbl>
      <w:tblPr>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25"/>
        <w:gridCol w:w="955"/>
        <w:gridCol w:w="875"/>
        <w:gridCol w:w="825"/>
        <w:gridCol w:w="870"/>
        <w:gridCol w:w="945"/>
      </w:tblGrid>
      <w:tr w14:paraId="0B94C0BD" w14:textId="77777777" w:rsidTr="004E7DAB">
        <w:tblPrEx>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725" w:type="dxa"/>
            <w:vMerge w:val="restart"/>
            <w:tcBorders>
              <w:top w:val="single" w:sz="8" w:space="0" w:color="000000"/>
              <w:left w:val="single" w:sz="8" w:space="0" w:color="000000"/>
              <w:bottom w:val="single" w:sz="8" w:space="0" w:color="000000"/>
              <w:right w:val="single" w:sz="8" w:space="0" w:color="000000"/>
            </w:tcBorders>
            <w:shd w:val="clear" w:color="auto" w:fill="007EA5"/>
            <w:tcMar>
              <w:top w:w="100" w:type="dxa"/>
              <w:left w:w="100" w:type="dxa"/>
              <w:bottom w:w="100" w:type="dxa"/>
              <w:right w:w="100" w:type="dxa"/>
            </w:tcMar>
            <w:vAlign w:val="bottom"/>
          </w:tcPr>
          <w:p w:rsidR="004E7DAB" w:rsidRPr="004E7DAB" w:rsidP="002D055E" w14:paraId="7B630158" w14:textId="77777777">
            <w:pPr>
              <w:pStyle w:val="Normal1"/>
              <w:widowControl w:val="0"/>
              <w:bidi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Activité</w:t>
            </w:r>
          </w:p>
        </w:tc>
        <w:tc>
          <w:tcPr>
            <w:tcW w:w="4470" w:type="dxa"/>
            <w:gridSpan w:val="5"/>
            <w:tcBorders>
              <w:top w:val="single" w:sz="8" w:space="0" w:color="000000"/>
              <w:bottom w:val="single" w:sz="8" w:space="0" w:color="000000"/>
              <w:right w:val="single" w:sz="8" w:space="0" w:color="000000"/>
            </w:tcBorders>
            <w:shd w:val="clear" w:color="auto" w:fill="007EA5"/>
            <w:tcMar>
              <w:top w:w="100" w:type="dxa"/>
              <w:left w:w="100" w:type="dxa"/>
              <w:bottom w:w="100" w:type="dxa"/>
              <w:right w:w="100" w:type="dxa"/>
            </w:tcMar>
          </w:tcPr>
          <w:p w:rsidR="004E7DAB" w:rsidRPr="004E7DAB" w:rsidP="002D055E" w14:paraId="20377BCA" w14:textId="77777777">
            <w:pPr>
              <w:pStyle w:val="Normal1"/>
              <w:widowControl w:val="0"/>
              <w:bidi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 xml:space="preserve">Mois </w:t>
            </w:r>
          </w:p>
        </w:tc>
      </w:tr>
      <w:tr w14:paraId="2F4318ED" w14:textId="77777777" w:rsidTr="004E7DAB">
        <w:tblPrEx>
          <w:tblW w:w="9195" w:type="dxa"/>
          <w:tblLayout w:type="fixed"/>
          <w:tblLook w:val="0600"/>
        </w:tblPrEx>
        <w:tc>
          <w:tcPr>
            <w:tcW w:w="4725" w:type="dxa"/>
            <w:vMerge/>
            <w:shd w:val="clear" w:color="auto" w:fill="007EA5"/>
            <w:tcMar>
              <w:top w:w="100" w:type="dxa"/>
              <w:left w:w="100" w:type="dxa"/>
              <w:bottom w:w="100" w:type="dxa"/>
              <w:right w:w="100" w:type="dxa"/>
            </w:tcMar>
          </w:tcPr>
          <w:p w:rsidR="004E7DAB" w:rsidRPr="004E7DAB" w:rsidP="002D055E" w14:paraId="64B2C9A8" w14:textId="77777777">
            <w:pPr>
              <w:pStyle w:val="Normal1"/>
              <w:widowControl w:val="0"/>
              <w:rPr>
                <w:rFonts w:ascii="Gill Sans MT" w:hAnsi="Gill Sans MT"/>
                <w:color w:val="FFFFFF" w:themeColor="background1"/>
                <w:sz w:val="24"/>
                <w:szCs w:val="24"/>
              </w:rPr>
            </w:pPr>
          </w:p>
        </w:tc>
        <w:tc>
          <w:tcPr>
            <w:tcW w:w="955" w:type="dxa"/>
            <w:tcBorders>
              <w:bottom w:val="single" w:sz="8" w:space="0" w:color="000000"/>
              <w:right w:val="single" w:sz="8" w:space="0" w:color="000000"/>
            </w:tcBorders>
            <w:shd w:val="clear" w:color="auto" w:fill="007EA5"/>
            <w:tcMar>
              <w:top w:w="100" w:type="dxa"/>
              <w:left w:w="100" w:type="dxa"/>
              <w:bottom w:w="100" w:type="dxa"/>
              <w:right w:w="100" w:type="dxa"/>
            </w:tcMar>
          </w:tcPr>
          <w:p w:rsidR="004E7DAB" w:rsidRPr="004E7DAB" w:rsidP="002D055E" w14:paraId="39EF184F" w14:textId="77777777">
            <w:pPr>
              <w:pStyle w:val="Normal1"/>
              <w:widowControl w:val="0"/>
              <w:bidi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Mars</w:t>
            </w:r>
          </w:p>
        </w:tc>
        <w:tc>
          <w:tcPr>
            <w:tcW w:w="875" w:type="dxa"/>
            <w:tcBorders>
              <w:bottom w:val="single" w:sz="8" w:space="0" w:color="000000"/>
              <w:right w:val="single" w:sz="8" w:space="0" w:color="000000"/>
            </w:tcBorders>
            <w:shd w:val="clear" w:color="auto" w:fill="007EA5"/>
            <w:tcMar>
              <w:top w:w="100" w:type="dxa"/>
              <w:left w:w="100" w:type="dxa"/>
              <w:bottom w:w="100" w:type="dxa"/>
              <w:right w:w="100" w:type="dxa"/>
            </w:tcMar>
          </w:tcPr>
          <w:p w:rsidR="004E7DAB" w:rsidRPr="004E7DAB" w:rsidP="002D055E" w14:paraId="24846638" w14:textId="77777777">
            <w:pPr>
              <w:pStyle w:val="Normal1"/>
              <w:widowControl w:val="0"/>
              <w:bidi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Avril</w:t>
            </w:r>
          </w:p>
        </w:tc>
        <w:tc>
          <w:tcPr>
            <w:tcW w:w="825" w:type="dxa"/>
            <w:tcBorders>
              <w:bottom w:val="single" w:sz="8" w:space="0" w:color="000000"/>
              <w:right w:val="single" w:sz="8" w:space="0" w:color="000000"/>
            </w:tcBorders>
            <w:shd w:val="clear" w:color="auto" w:fill="007EA5"/>
            <w:tcMar>
              <w:top w:w="100" w:type="dxa"/>
              <w:left w:w="100" w:type="dxa"/>
              <w:bottom w:w="100" w:type="dxa"/>
              <w:right w:w="100" w:type="dxa"/>
            </w:tcMar>
          </w:tcPr>
          <w:p w:rsidR="004E7DAB" w:rsidRPr="004E7DAB" w:rsidP="002D055E" w14:paraId="06522BD1" w14:textId="77777777">
            <w:pPr>
              <w:pStyle w:val="Normal1"/>
              <w:widowControl w:val="0"/>
              <w:bidi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Mai</w:t>
            </w:r>
          </w:p>
        </w:tc>
        <w:tc>
          <w:tcPr>
            <w:tcW w:w="870" w:type="dxa"/>
            <w:tcBorders>
              <w:bottom w:val="single" w:sz="8" w:space="0" w:color="000000"/>
              <w:right w:val="single" w:sz="8" w:space="0" w:color="000000"/>
            </w:tcBorders>
            <w:shd w:val="clear" w:color="auto" w:fill="007EA5"/>
            <w:tcMar>
              <w:top w:w="100" w:type="dxa"/>
              <w:left w:w="100" w:type="dxa"/>
              <w:bottom w:w="100" w:type="dxa"/>
              <w:right w:w="100" w:type="dxa"/>
            </w:tcMar>
          </w:tcPr>
          <w:p w:rsidR="004E7DAB" w:rsidRPr="004E7DAB" w:rsidP="002D055E" w14:paraId="1967B09E" w14:textId="77777777">
            <w:pPr>
              <w:pStyle w:val="Normal1"/>
              <w:widowControl w:val="0"/>
              <w:bidi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Juin</w:t>
            </w:r>
          </w:p>
        </w:tc>
        <w:tc>
          <w:tcPr>
            <w:tcW w:w="945" w:type="dxa"/>
            <w:tcBorders>
              <w:bottom w:val="single" w:sz="8" w:space="0" w:color="000000"/>
              <w:right w:val="single" w:sz="8" w:space="0" w:color="000000"/>
            </w:tcBorders>
            <w:shd w:val="clear" w:color="auto" w:fill="007EA5"/>
            <w:tcMar>
              <w:top w:w="100" w:type="dxa"/>
              <w:left w:w="100" w:type="dxa"/>
              <w:bottom w:w="100" w:type="dxa"/>
              <w:right w:w="100" w:type="dxa"/>
            </w:tcMar>
          </w:tcPr>
          <w:p w:rsidR="004E7DAB" w:rsidRPr="004E7DAB" w:rsidP="002D055E" w14:paraId="39EF6003" w14:textId="77777777">
            <w:pPr>
              <w:pStyle w:val="Normal1"/>
              <w:widowControl w:val="0"/>
              <w:bidi w:val="0"/>
              <w:jc w:val="center"/>
              <w:rPr>
                <w:rFonts w:ascii="Gill Sans MT" w:hAnsi="Gill Sans MT"/>
                <w:color w:val="FFFFFF" w:themeColor="background1"/>
                <w:sz w:val="24"/>
                <w:szCs w:val="24"/>
              </w:rPr>
            </w:pPr>
            <w:r w:rsidRPr="004E7DAB">
              <w:rPr>
                <w:rFonts w:ascii="Gill Sans MT" w:hAnsi="Gill Sans MT"/>
                <w:b/>
                <w:color w:val="FFFFFF" w:themeColor="background1"/>
                <w:sz w:val="24"/>
                <w:szCs w:val="24"/>
                <w:rtl w:val="0"/>
                <w:lang w:val="fr"/>
              </w:rPr>
              <w:t>Juillet</w:t>
            </w:r>
          </w:p>
        </w:tc>
      </w:tr>
      <w:tr w14:paraId="40F6F476" w14:textId="77777777" w:rsidTr="002D055E">
        <w:tblPrEx>
          <w:tblW w:w="9195" w:type="dxa"/>
          <w:tblLayout w:type="fixed"/>
          <w:tblLook w:val="0600"/>
        </w:tblPrEx>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3C1FFAAA" w14:textId="77777777">
            <w:pPr>
              <w:pStyle w:val="Normal1"/>
              <w:widowControl w:val="0"/>
              <w:bidi w:val="0"/>
              <w:ind w:left="525"/>
              <w:rPr>
                <w:rFonts w:ascii="Gill Sans MT" w:hAnsi="Gill Sans MT"/>
                <w:sz w:val="24"/>
                <w:szCs w:val="24"/>
              </w:rPr>
            </w:pPr>
            <w:r w:rsidRPr="009E1B91">
              <w:rPr>
                <w:rFonts w:ascii="Gill Sans MT" w:hAnsi="Gill Sans MT"/>
                <w:sz w:val="24"/>
                <w:szCs w:val="24"/>
                <w:rtl w:val="0"/>
                <w:lang w:val="fr"/>
              </w:rPr>
              <w:t>Modifier le CISR</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31E018EF"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7D29661B" w14:textId="77777777">
            <w:pPr>
              <w:pStyle w:val="Normal1"/>
              <w:widowControl w:val="0"/>
              <w:jc w:val="center"/>
              <w:rPr>
                <w:rFonts w:ascii="Gill Sans MT" w:hAnsi="Gill Sans MT"/>
                <w:sz w:val="24"/>
                <w:szCs w:val="24"/>
              </w:rPr>
            </w:pP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383F1F7B" w14:textId="77777777">
            <w:pPr>
              <w:pStyle w:val="Normal1"/>
              <w:widowControl w:val="0"/>
              <w:rPr>
                <w:rFonts w:ascii="Gill Sans MT" w:hAnsi="Gill Sans MT"/>
                <w:sz w:val="24"/>
                <w:szCs w:val="24"/>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8A78D52" w14:textId="77777777">
            <w:pPr>
              <w:pStyle w:val="Normal1"/>
              <w:widowControl w:val="0"/>
              <w:jc w:val="center"/>
              <w:rPr>
                <w:rFonts w:ascii="Gill Sans MT" w:hAnsi="Gill Sans MT"/>
                <w:sz w:val="24"/>
                <w:szCs w:val="24"/>
              </w:rPr>
            </w:pP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7EE5623F" w14:textId="77777777">
            <w:pPr>
              <w:pStyle w:val="Normal1"/>
              <w:widowControl w:val="0"/>
              <w:jc w:val="center"/>
              <w:rPr>
                <w:rFonts w:ascii="Gill Sans MT" w:hAnsi="Gill Sans MT"/>
                <w:sz w:val="24"/>
                <w:szCs w:val="24"/>
              </w:rPr>
            </w:pPr>
          </w:p>
        </w:tc>
      </w:tr>
      <w:tr w14:paraId="13B6F0AC" w14:textId="77777777" w:rsidTr="002D055E">
        <w:tblPrEx>
          <w:tblW w:w="9195" w:type="dxa"/>
          <w:tblLayout w:type="fixed"/>
          <w:tblLook w:val="0600"/>
        </w:tblPrEx>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5D0D2A28" w14:textId="77777777">
            <w:pPr>
              <w:pStyle w:val="Normal1"/>
              <w:widowControl w:val="0"/>
              <w:bidi w:val="0"/>
              <w:ind w:left="525"/>
              <w:rPr>
                <w:rFonts w:ascii="Gill Sans MT" w:hAnsi="Gill Sans MT"/>
                <w:sz w:val="24"/>
                <w:szCs w:val="24"/>
              </w:rPr>
            </w:pPr>
            <w:r w:rsidRPr="009E1B91">
              <w:rPr>
                <w:rFonts w:ascii="Gill Sans MT" w:hAnsi="Gill Sans MT"/>
                <w:sz w:val="24"/>
                <w:szCs w:val="24"/>
                <w:rtl w:val="0"/>
                <w:lang w:val="fr"/>
              </w:rPr>
              <w:t>Recruter des participants</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5D1731D2"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5DDF37B4"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5768DC3D" w14:textId="77777777">
            <w:pPr>
              <w:pStyle w:val="Normal1"/>
              <w:widowControl w:val="0"/>
              <w:rPr>
                <w:rFonts w:ascii="Gill Sans MT" w:hAnsi="Gill Sans MT"/>
                <w:sz w:val="24"/>
                <w:szCs w:val="24"/>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CD606EB" w14:textId="77777777">
            <w:pPr>
              <w:pStyle w:val="Normal1"/>
              <w:widowControl w:val="0"/>
              <w:jc w:val="center"/>
              <w:rPr>
                <w:rFonts w:ascii="Gill Sans MT" w:hAnsi="Gill Sans MT"/>
                <w:sz w:val="24"/>
                <w:szCs w:val="24"/>
              </w:rPr>
            </w:pP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9D461C0" w14:textId="77777777">
            <w:pPr>
              <w:pStyle w:val="Normal1"/>
              <w:widowControl w:val="0"/>
              <w:jc w:val="center"/>
              <w:rPr>
                <w:rFonts w:ascii="Gill Sans MT" w:hAnsi="Gill Sans MT"/>
                <w:sz w:val="24"/>
                <w:szCs w:val="24"/>
              </w:rPr>
            </w:pPr>
          </w:p>
        </w:tc>
      </w:tr>
      <w:tr w14:paraId="7B8CBD8D" w14:textId="77777777" w:rsidTr="002D055E">
        <w:tblPrEx>
          <w:tblW w:w="9195" w:type="dxa"/>
          <w:tblLayout w:type="fixed"/>
          <w:tblLook w:val="0600"/>
        </w:tblPrEx>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C3BBBDE" w14:textId="77777777">
            <w:pPr>
              <w:pStyle w:val="Normal1"/>
              <w:widowControl w:val="0"/>
              <w:bidi w:val="0"/>
              <w:ind w:left="525"/>
              <w:rPr>
                <w:rFonts w:ascii="Gill Sans MT" w:hAnsi="Gill Sans MT"/>
                <w:sz w:val="24"/>
                <w:szCs w:val="24"/>
              </w:rPr>
            </w:pPr>
            <w:r w:rsidRPr="009E1B91">
              <w:rPr>
                <w:rFonts w:ascii="Gill Sans MT" w:hAnsi="Gill Sans MT"/>
                <w:sz w:val="24"/>
                <w:szCs w:val="24"/>
                <w:rtl w:val="0"/>
                <w:lang w:val="fr"/>
              </w:rPr>
              <w:t>Réaliser la collecte des données</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4AA31521" w14:textId="77777777">
            <w:pPr>
              <w:pStyle w:val="Normal1"/>
              <w:widowControl w:val="0"/>
              <w:jc w:val="center"/>
              <w:rPr>
                <w:rFonts w:ascii="Gill Sans MT" w:hAnsi="Gill Sans MT"/>
                <w:sz w:val="24"/>
                <w:szCs w:val="24"/>
              </w:rPr>
            </w:pP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D6E78F7"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42237DBD"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69B859D" w14:textId="77777777">
            <w:pPr>
              <w:pStyle w:val="Normal1"/>
              <w:widowControl w:val="0"/>
              <w:jc w:val="center"/>
              <w:rPr>
                <w:rFonts w:ascii="Gill Sans MT" w:hAnsi="Gill Sans MT"/>
                <w:sz w:val="24"/>
                <w:szCs w:val="24"/>
              </w:rPr>
            </w:pP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7761BC96" w14:textId="77777777">
            <w:pPr>
              <w:pStyle w:val="Normal1"/>
              <w:widowControl w:val="0"/>
              <w:rPr>
                <w:rFonts w:ascii="Gill Sans MT" w:hAnsi="Gill Sans MT"/>
                <w:sz w:val="24"/>
                <w:szCs w:val="24"/>
              </w:rPr>
            </w:pPr>
            <w:r w:rsidRPr="009E1B91">
              <w:rPr>
                <w:rFonts w:ascii="Gill Sans MT" w:hAnsi="Gill Sans MT"/>
                <w:sz w:val="24"/>
                <w:szCs w:val="24"/>
              </w:rPr>
              <w:t xml:space="preserve"> </w:t>
            </w:r>
          </w:p>
        </w:tc>
      </w:tr>
      <w:tr w14:paraId="46D00273" w14:textId="77777777" w:rsidTr="002D055E">
        <w:tblPrEx>
          <w:tblW w:w="9195" w:type="dxa"/>
          <w:tblLayout w:type="fixed"/>
          <w:tblLook w:val="0600"/>
        </w:tblPrEx>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150BC30" w14:textId="77777777">
            <w:pPr>
              <w:pStyle w:val="Normal1"/>
              <w:widowControl w:val="0"/>
              <w:bidi w:val="0"/>
              <w:ind w:left="525"/>
              <w:rPr>
                <w:rFonts w:ascii="Gill Sans MT" w:hAnsi="Gill Sans MT"/>
                <w:sz w:val="24"/>
                <w:szCs w:val="24"/>
              </w:rPr>
            </w:pPr>
            <w:r w:rsidRPr="009E1B91">
              <w:rPr>
                <w:rFonts w:ascii="Gill Sans MT" w:hAnsi="Gill Sans MT"/>
                <w:sz w:val="24"/>
                <w:szCs w:val="24"/>
                <w:rtl w:val="0"/>
                <w:lang w:val="fr"/>
              </w:rPr>
              <w:t>L'analyse des données</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715061EA" w14:textId="77777777">
            <w:pPr>
              <w:pStyle w:val="Normal1"/>
              <w:widowControl w:val="0"/>
              <w:jc w:val="center"/>
              <w:rPr>
                <w:rFonts w:ascii="Gill Sans MT" w:hAnsi="Gill Sans MT"/>
                <w:sz w:val="24"/>
                <w:szCs w:val="24"/>
              </w:rPr>
            </w:pP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33C93E1A" w14:textId="77777777">
            <w:pPr>
              <w:pStyle w:val="Normal1"/>
              <w:widowControl w:val="0"/>
              <w:jc w:val="center"/>
              <w:rPr>
                <w:rFonts w:ascii="Gill Sans MT" w:hAnsi="Gill Sans MT"/>
                <w:sz w:val="24"/>
                <w:szCs w:val="24"/>
              </w:rPr>
            </w:pP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4A603B18"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8C7E4C7"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57A0970F" w14:textId="77777777">
            <w:pPr>
              <w:pStyle w:val="Normal1"/>
              <w:widowControl w:val="0"/>
              <w:jc w:val="center"/>
              <w:rPr>
                <w:rFonts w:ascii="Gill Sans MT" w:hAnsi="Gill Sans MT"/>
                <w:sz w:val="24"/>
                <w:szCs w:val="24"/>
              </w:rPr>
            </w:pPr>
            <w:r w:rsidRPr="009E1B91">
              <w:rPr>
                <w:rFonts w:ascii="Gill Sans MT" w:hAnsi="Gill Sans MT"/>
                <w:sz w:val="24"/>
                <w:szCs w:val="24"/>
              </w:rPr>
              <w:t xml:space="preserve"> </w:t>
            </w:r>
          </w:p>
        </w:tc>
      </w:tr>
      <w:tr w14:paraId="3EF4B818" w14:textId="77777777" w:rsidTr="002D055E">
        <w:tblPrEx>
          <w:tblW w:w="9195" w:type="dxa"/>
          <w:tblLayout w:type="fixed"/>
          <w:tblLook w:val="0600"/>
        </w:tblPrEx>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34FAD41D" w14:textId="77777777">
            <w:pPr>
              <w:pStyle w:val="Normal1"/>
              <w:widowControl w:val="0"/>
              <w:bidi w:val="0"/>
              <w:ind w:left="525"/>
              <w:rPr>
                <w:rFonts w:ascii="Gill Sans MT" w:hAnsi="Gill Sans MT"/>
                <w:sz w:val="24"/>
                <w:szCs w:val="24"/>
              </w:rPr>
            </w:pPr>
            <w:r w:rsidRPr="009E1B91">
              <w:rPr>
                <w:rFonts w:ascii="Gill Sans MT" w:hAnsi="Gill Sans MT"/>
                <w:sz w:val="24"/>
                <w:szCs w:val="24"/>
                <w:rtl w:val="0"/>
                <w:lang w:val="fr"/>
              </w:rPr>
              <w:t>Préparer le(s) rapport(s)</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15A82A50" w14:textId="77777777">
            <w:pPr>
              <w:pStyle w:val="Normal1"/>
              <w:widowControl w:val="0"/>
              <w:jc w:val="center"/>
              <w:rPr>
                <w:rFonts w:ascii="Gill Sans MT" w:hAnsi="Gill Sans MT"/>
                <w:sz w:val="24"/>
                <w:szCs w:val="24"/>
              </w:rPr>
            </w:pP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F6C075E" w14:textId="77777777">
            <w:pPr>
              <w:pStyle w:val="Normal1"/>
              <w:widowControl w:val="0"/>
              <w:jc w:val="center"/>
              <w:rPr>
                <w:rFonts w:ascii="Gill Sans MT" w:hAnsi="Gill Sans MT"/>
                <w:sz w:val="24"/>
                <w:szCs w:val="24"/>
              </w:rPr>
            </w:pP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1E6385DB" w14:textId="77777777">
            <w:pPr>
              <w:pStyle w:val="Normal1"/>
              <w:widowControl w:val="0"/>
              <w:jc w:val="center"/>
              <w:rPr>
                <w:rFonts w:ascii="Gill Sans MT" w:hAnsi="Gill Sans MT"/>
                <w:sz w:val="24"/>
                <w:szCs w:val="24"/>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6B12DAD4"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4D61E0AA" w14:textId="77777777">
            <w:pPr>
              <w:pStyle w:val="Normal1"/>
              <w:widowControl w:val="0"/>
              <w:jc w:val="center"/>
              <w:rPr>
                <w:rFonts w:ascii="Gill Sans MT" w:hAnsi="Gill Sans MT"/>
                <w:sz w:val="24"/>
                <w:szCs w:val="24"/>
              </w:rPr>
            </w:pPr>
            <w:r w:rsidRPr="009E1B91">
              <w:rPr>
                <w:rFonts w:ascii="Gill Sans MT" w:hAnsi="Gill Sans MT"/>
                <w:sz w:val="24"/>
                <w:szCs w:val="24"/>
              </w:rPr>
              <w:t xml:space="preserve"> </w:t>
            </w:r>
          </w:p>
        </w:tc>
      </w:tr>
      <w:tr w14:paraId="6C9BA757" w14:textId="77777777" w:rsidTr="002D055E">
        <w:tblPrEx>
          <w:tblW w:w="9195" w:type="dxa"/>
          <w:tblLayout w:type="fixed"/>
          <w:tblLook w:val="0600"/>
        </w:tblPrEx>
        <w:tc>
          <w:tcPr>
            <w:tcW w:w="4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4D473E7E" w14:textId="77777777">
            <w:pPr>
              <w:pStyle w:val="Normal1"/>
              <w:widowControl w:val="0"/>
              <w:bidi w:val="0"/>
              <w:ind w:left="525"/>
              <w:rPr>
                <w:rFonts w:ascii="Gill Sans MT" w:hAnsi="Gill Sans MT"/>
                <w:sz w:val="24"/>
                <w:szCs w:val="24"/>
              </w:rPr>
            </w:pPr>
            <w:r w:rsidRPr="009E1B91">
              <w:rPr>
                <w:rFonts w:ascii="Gill Sans MT" w:hAnsi="Gill Sans MT"/>
                <w:sz w:val="24"/>
                <w:szCs w:val="24"/>
                <w:rtl w:val="0"/>
                <w:lang w:val="fr"/>
              </w:rPr>
              <w:t>Diffuser les conclusions/recommandations</w:t>
            </w:r>
          </w:p>
        </w:tc>
        <w:tc>
          <w:tcPr>
            <w:tcW w:w="95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41355671" w14:textId="77777777">
            <w:pPr>
              <w:pStyle w:val="Normal1"/>
              <w:widowControl w:val="0"/>
              <w:jc w:val="center"/>
              <w:rPr>
                <w:rFonts w:ascii="Gill Sans MT" w:hAnsi="Gill Sans MT"/>
                <w:sz w:val="24"/>
                <w:szCs w:val="24"/>
              </w:rPr>
            </w:pPr>
          </w:p>
        </w:tc>
        <w:tc>
          <w:tcPr>
            <w:tcW w:w="87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364211C1" w14:textId="77777777">
            <w:pPr>
              <w:pStyle w:val="Normal1"/>
              <w:widowControl w:val="0"/>
              <w:jc w:val="center"/>
              <w:rPr>
                <w:rFonts w:ascii="Gill Sans MT" w:hAnsi="Gill Sans MT"/>
                <w:sz w:val="24"/>
                <w:szCs w:val="24"/>
              </w:rPr>
            </w:pPr>
          </w:p>
        </w:tc>
        <w:tc>
          <w:tcPr>
            <w:tcW w:w="82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1FAFF7C0" w14:textId="77777777">
            <w:pPr>
              <w:pStyle w:val="Normal1"/>
              <w:widowControl w:val="0"/>
              <w:jc w:val="center"/>
              <w:rPr>
                <w:rFonts w:ascii="Gill Sans MT" w:hAnsi="Gill Sans MT"/>
                <w:sz w:val="24"/>
                <w:szCs w:val="24"/>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3CC04409" w14:textId="77777777">
            <w:pPr>
              <w:pStyle w:val="Normal1"/>
              <w:widowControl w:val="0"/>
              <w:jc w:val="center"/>
              <w:rPr>
                <w:rFonts w:ascii="Gill Sans MT" w:hAnsi="Gill Sans MT"/>
                <w:sz w:val="24"/>
                <w:szCs w:val="24"/>
              </w:rPr>
            </w:pP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4E7DAB" w:rsidRPr="009E1B91" w:rsidP="002D055E" w14:paraId="36FEEB75" w14:textId="77777777">
            <w:pPr>
              <w:pStyle w:val="Normal1"/>
              <w:widowControl w:val="0"/>
              <w:bidi w:val="0"/>
              <w:jc w:val="center"/>
              <w:rPr>
                <w:rFonts w:ascii="Gill Sans MT" w:hAnsi="Gill Sans MT"/>
                <w:sz w:val="24"/>
                <w:szCs w:val="24"/>
              </w:rPr>
            </w:pPr>
            <w:r w:rsidRPr="009E1B91">
              <w:rPr>
                <w:rFonts w:ascii="Gill Sans MT" w:hAnsi="Gill Sans MT"/>
                <w:sz w:val="24"/>
                <w:szCs w:val="24"/>
                <w:rtl w:val="0"/>
                <w:lang w:val="fr"/>
              </w:rPr>
              <w:t>X</w:t>
            </w:r>
          </w:p>
        </w:tc>
      </w:tr>
    </w:tbl>
    <w:p w:rsidR="009B133F" w:rsidRPr="00E84E9D" w:rsidP="00E84E9D" w14:paraId="4D638371" w14:textId="1858CB9D">
      <w:pPr>
        <w:bidi w:val="0"/>
        <w:spacing w:before="160" w:after="160" w:line="276" w:lineRule="auto"/>
        <w:rPr>
          <w:sz w:val="28"/>
        </w:rPr>
      </w:pPr>
      <w:r>
        <w:rPr>
          <w:b/>
          <w:sz w:val="28"/>
          <w:rtl w:val="0"/>
          <w:lang w:val="fr"/>
        </w:rPr>
        <w:t xml:space="preserve">Approbation éthique </w:t>
      </w:r>
    </w:p>
    <w:p w:rsidR="004E7DAB" w:rsidRPr="009E1B91" w:rsidP="004E7DAB" w14:paraId="053A04BC" w14:textId="77777777">
      <w:pPr>
        <w:pStyle w:val="Normal1"/>
        <w:widowControl w:val="0"/>
        <w:bidi w:val="0"/>
        <w:rPr>
          <w:rFonts w:ascii="Gill Sans MT" w:hAnsi="Gill Sans MT"/>
          <w:sz w:val="24"/>
          <w:szCs w:val="24"/>
        </w:rPr>
      </w:pPr>
      <w:r w:rsidRPr="009E1B91">
        <w:rPr>
          <w:rFonts w:ascii="Gill Sans MT" w:hAnsi="Gill Sans MT"/>
          <w:sz w:val="24"/>
          <w:szCs w:val="24"/>
          <w:rtl w:val="0"/>
          <w:lang w:val="fr"/>
        </w:rPr>
        <w:t xml:space="preserve">Nous avons reçu l'approbation de l'Institutional Review Board pour l'évaluation de base et finale. </w:t>
      </w:r>
    </w:p>
    <w:sectPr w:rsidSect="00703F2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AA8" w14:paraId="6A5F61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207A2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6FADA4EC">
        <w:pPr>
          <w:pStyle w:val="Footer"/>
          <w:jc w:val="right"/>
        </w:pPr>
        <w:r>
          <w:fldChar w:fldCharType="begin"/>
        </w:r>
        <w:r>
          <w:instrText xml:space="preserve"> PAGE   \* MERGEFORMAT </w:instrText>
        </w:r>
        <w:r>
          <w:fldChar w:fldCharType="separate"/>
        </w:r>
        <w:r w:rsidR="00207A2A">
          <w:rPr>
            <w:noProof/>
          </w:rPr>
          <w:t>1</w:t>
        </w:r>
        <w:r>
          <w:rPr>
            <w:noProof/>
          </w:rPr>
          <w:fldChar w:fldCharType="end"/>
        </w:r>
      </w:p>
    </w:sdtContent>
  </w:sdt>
  <w:p w:rsidR="00F16AA8" w:rsidRPr="00F16AA8" w:rsidP="00F16AA8" w14:paraId="3921D37F" w14:textId="77777777">
    <w:pPr>
      <w:bidi w:val="0"/>
      <w:spacing w:after="0" w:line="240" w:lineRule="auto"/>
      <w:rPr>
        <w:rFonts w:ascii="Arial" w:eastAsia="Times New Roman" w:hAnsi="Arial" w:cs="Arial"/>
        <w:sz w:val="16"/>
        <w:szCs w:val="16"/>
        <w:lang w:eastAsia="en-US"/>
      </w:rPr>
    </w:pPr>
    <w:r w:rsidRPr="00F16AA8">
      <w:rPr>
        <w:rFonts w:ascii="Arial" w:eastAsia="Times New Roman" w:hAnsi="Arial" w:cs="Arial"/>
        <w:i/>
        <w:iCs/>
        <w:color w:val="000000"/>
        <w:sz w:val="16"/>
        <w:szCs w:val="16"/>
        <w:rtl w:val="0"/>
        <w:lang w:val="fr" w:eastAsia="en-US"/>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F16AA8">
        <w:rPr>
          <w:rFonts w:ascii="Arial" w:eastAsia="Times New Roman" w:hAnsi="Arial" w:cs="Arial"/>
          <w:i/>
          <w:iCs/>
          <w:color w:val="1155CC"/>
          <w:sz w:val="16"/>
          <w:szCs w:val="16"/>
          <w:u w:val="single"/>
          <w:rtl w:val="0"/>
          <w:lang w:val="fr" w:eastAsia="en-US"/>
        </w:rPr>
        <w:t>www.kmtraining.org</w:t>
      </w:r>
    </w:hyperlink>
    <w:r w:rsidRPr="00F16AA8">
      <w:rPr>
        <w:rFonts w:ascii="Arial" w:eastAsia="Times New Roman" w:hAnsi="Arial" w:cs="Arial"/>
        <w:i/>
        <w:iCs/>
        <w:color w:val="000000"/>
        <w:sz w:val="16"/>
        <w:szCs w:val="16"/>
        <w:rtl w:val="0"/>
        <w:lang w:val="fr" w:eastAsia="en-US"/>
      </w:rPr>
      <w:t>.</w:t>
    </w:r>
  </w:p>
  <w:p w:rsidR="005F46EB" w:rsidRPr="00092279" w:rsidP="00F16AA8" w14:paraId="6BE7372C" w14:textId="63907D3F">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AA8" w14:paraId="4B07AE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75890"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A087D5E"/>
    <w:multiLevelType w:val="hybridMultilevel"/>
    <w:tmpl w:val="7FFAF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D30261D"/>
    <w:multiLevelType w:val="hybridMultilevel"/>
    <w:tmpl w:val="D5747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DD04C15"/>
    <w:multiLevelType w:val="hybridMultilevel"/>
    <w:tmpl w:val="0310F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7001473"/>
    <w:multiLevelType w:val="hybridMultilevel"/>
    <w:tmpl w:val="EEF81F08"/>
    <w:lvl w:ilvl="0">
      <w:start w:val="1"/>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8"/>
  </w:num>
  <w:num w:numId="4">
    <w:abstractNumId w:val="12"/>
  </w:num>
  <w:num w:numId="5">
    <w:abstractNumId w:val="3"/>
  </w:num>
  <w:num w:numId="6">
    <w:abstractNumId w:val="7"/>
  </w:num>
  <w:num w:numId="7">
    <w:abstractNumId w:val="6"/>
  </w:num>
  <w:num w:numId="8">
    <w:abstractNumId w:val="10"/>
  </w:num>
  <w:num w:numId="9">
    <w:abstractNumId w:val="14"/>
  </w:num>
  <w:num w:numId="10">
    <w:abstractNumId w:val="9"/>
  </w:num>
  <w:num w:numId="11">
    <w:abstractNumId w:val="5"/>
  </w:num>
  <w:num w:numId="12">
    <w:abstractNumId w:val="13"/>
  </w:num>
  <w:num w:numId="13">
    <w:abstractNumId w:val="15"/>
  </w:num>
  <w:num w:numId="14">
    <w:abstractNumId w:val="17"/>
  </w:num>
  <w:num w:numId="15">
    <w:abstractNumId w:val="11"/>
  </w:num>
  <w:num w:numId="16">
    <w:abstractNumId w:val="1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92279"/>
    <w:rsid w:val="000B0A08"/>
    <w:rsid w:val="000F7AA9"/>
    <w:rsid w:val="00181E13"/>
    <w:rsid w:val="001A7791"/>
    <w:rsid w:val="001C0DA3"/>
    <w:rsid w:val="001C281B"/>
    <w:rsid w:val="00206B10"/>
    <w:rsid w:val="00207A2A"/>
    <w:rsid w:val="00250AA8"/>
    <w:rsid w:val="00263913"/>
    <w:rsid w:val="002A73BD"/>
    <w:rsid w:val="002D055E"/>
    <w:rsid w:val="002D3A6B"/>
    <w:rsid w:val="003121B9"/>
    <w:rsid w:val="00313DB9"/>
    <w:rsid w:val="00332EA5"/>
    <w:rsid w:val="003D75BB"/>
    <w:rsid w:val="004D32EA"/>
    <w:rsid w:val="004E7DAB"/>
    <w:rsid w:val="004F118D"/>
    <w:rsid w:val="0055553D"/>
    <w:rsid w:val="005F46EB"/>
    <w:rsid w:val="006066FE"/>
    <w:rsid w:val="00681FE7"/>
    <w:rsid w:val="00703F2E"/>
    <w:rsid w:val="009763B6"/>
    <w:rsid w:val="009923BB"/>
    <w:rsid w:val="009B133F"/>
    <w:rsid w:val="009C3275"/>
    <w:rsid w:val="009E1B91"/>
    <w:rsid w:val="00A43205"/>
    <w:rsid w:val="00A54584"/>
    <w:rsid w:val="00AD26EC"/>
    <w:rsid w:val="00AE1D16"/>
    <w:rsid w:val="00C6377D"/>
    <w:rsid w:val="00CB3DCE"/>
    <w:rsid w:val="00CC2C5D"/>
    <w:rsid w:val="00D05E0A"/>
    <w:rsid w:val="00D904BF"/>
    <w:rsid w:val="00E84E9D"/>
    <w:rsid w:val="00E966B8"/>
    <w:rsid w:val="00EA051F"/>
    <w:rsid w:val="00EF16F0"/>
    <w:rsid w:val="00F16AA8"/>
    <w:rsid w:val="00F53B18"/>
    <w:rsid w:val="00F675E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3.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2628-C13A-014D-89AD-859CA421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4</cp:revision>
  <dcterms:created xsi:type="dcterms:W3CDTF">2017-11-13T02:12:00Z</dcterms:created>
  <dcterms:modified xsi:type="dcterms:W3CDTF">2021-07-13T17:56:00Z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