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F078D" w:rsidRPr="00513423" w:rsidP="00513423" w14:paraId="02D946B1" w14:textId="77777777">
      <w:pPr>
        <w:pStyle w:val="Title"/>
        <w:bidi w:val="0"/>
        <w:spacing w:before="160" w:after="120" w:line="276" w:lineRule="auto"/>
        <w:rPr>
          <w:rFonts w:ascii="Gill Sans MT" w:eastAsia="Quattrocento Sans" w:hAnsi="Gill Sans MT" w:cs="Quattrocento Sans"/>
          <w:b/>
          <w:sz w:val="36"/>
          <w:szCs w:val="36"/>
        </w:rPr>
      </w:pPr>
      <w:r w:rsidRPr="00513423">
        <w:rPr>
          <w:rFonts w:ascii="Gill Sans MT" w:eastAsia="Quattrocento Sans" w:hAnsi="Gill Sans MT" w:cs="Quattrocento Sans"/>
          <w:b/>
          <w:caps w:val="0"/>
          <w:sz w:val="36"/>
          <w:szCs w:val="36"/>
          <w:rtl w:val="0"/>
          <w:lang w:val="fr"/>
        </w:rPr>
        <w:t xml:space="preserve">Considérations budgétaires </w:t>
      </w:r>
    </w:p>
    <w:p w:rsidR="003F078D" w:rsidP="003F078D" w14:paraId="6479B0B1" w14:textId="77777777">
      <w:pPr>
        <w:bidi w:val="0"/>
      </w:pPr>
      <w:r>
        <w:rPr>
          <w:rtl w:val="0"/>
          <w:lang w:val="fr"/>
        </w:rPr>
        <w:t xml:space="preserve">Au fur et à mesure que vous avancez dans l'élaboration d'une stratégie de GC, un budget correspondant et un exposé budgétaire doivent également être élaborés. Comme pour la stratégie en général, votre budget dépendra de la portée technique, du calendrier et des ressources existantes. Il y a plusieurs éléments que vous devrez prévoir, quelle que soit la taille de votre stratégie.  </w:t>
      </w:r>
    </w:p>
    <w:p w:rsidR="003F078D" w:rsidRPr="00961FF2" w:rsidP="007E6B69" w14:paraId="2B7C5F94" w14:textId="77777777">
      <w:pPr>
        <w:pStyle w:val="Heading2"/>
        <w:bidi w:val="0"/>
        <w:spacing w:after="120"/>
      </w:pPr>
      <w:r w:rsidRPr="00961FF2">
        <w:rPr>
          <w:rtl w:val="0"/>
          <w:lang w:val="fr"/>
        </w:rPr>
        <w:t xml:space="preserve">Salaires </w:t>
      </w:r>
    </w:p>
    <w:p w:rsidR="00961FF2" w:rsidP="00961FF2" w14:paraId="5D6B831C" w14:textId="77777777">
      <w:pPr>
        <w:bidi w:val="0"/>
        <w:rPr>
          <w:rFonts w:asciiTheme="majorHAnsi" w:hAnsiTheme="majorHAnsi"/>
        </w:rPr>
      </w:pPr>
      <w:r w:rsidRPr="0003139E">
        <w:rPr>
          <w:rFonts w:asciiTheme="majorHAnsi" w:hAnsiTheme="majorHAnsi"/>
          <w:rtl w:val="0"/>
          <w:lang w:val="fr"/>
        </w:rPr>
        <w:t xml:space="preserve">Une partie importante de votre budget sera allouée aux salaires... Tenez compte des compétences que vous recherchez chez le personnel ainsi que du temps à consacrer, des tâches et des responsabilités. Ces facteurs auront une incidence sur la ou les fourchette(s) de salaires que vous devez prévoir. Les salaires des KM dépendent souvent du degré de spécialisation des compétences recherchées ainsi que de l'historique des salaires du candidat. Le donateur et le type de financement peuvent également dicter un montant maximum qui peut être payé pour les salaires. La GC étant un domaine relativement nouveau, il existe encore peu de professionnels possédant des compétences explicites en la matière. Utilisez les compétences dans des domaines connexes pour identifier les candidats appropriés. </w:t>
      </w:r>
    </w:p>
    <w:p w:rsidR="00781C69" w:rsidP="00961FF2" w14:paraId="0091BAEB" w14:textId="77777777">
      <w:pPr>
        <w:bidi w:val="0"/>
        <w:rPr>
          <w:rFonts w:asciiTheme="majorHAnsi" w:hAnsiTheme="majorHAnsi"/>
        </w:rPr>
      </w:pPr>
      <w:r>
        <w:rPr>
          <w:rFonts w:asciiTheme="majorHAnsi" w:hAnsiTheme="majorHAnsi"/>
          <w:rtl w:val="0"/>
          <w:lang w:val="fr"/>
        </w:rPr>
        <w:t>Les activités de GC requièrent généralement un certain niveau d'effort de la part des catégories de RH suivantes : suivi et évaluation, rédacteur technique, graphiste, spécialiste des TIC, gestionnaire de projet...</w:t>
      </w:r>
    </w:p>
    <w:p w:rsidR="0080107B" w:rsidRPr="0080107B" w:rsidP="007E6B69" w14:paraId="71BC7281" w14:textId="77777777">
      <w:pPr>
        <w:pStyle w:val="Heading2"/>
        <w:bidi w:val="0"/>
        <w:spacing w:after="120"/>
      </w:pPr>
      <w:r w:rsidRPr="0080107B">
        <w:rPr>
          <w:rtl w:val="0"/>
          <w:lang w:val="fr"/>
        </w:rPr>
        <w:t xml:space="preserve">Avantages sociaux </w:t>
      </w:r>
    </w:p>
    <w:p w:rsidR="003F078D" w:rsidRPr="00961FF2" w:rsidP="00961FF2" w14:paraId="6581B45A" w14:textId="77777777">
      <w:pPr>
        <w:bidi w:val="0"/>
        <w:rPr>
          <w:rFonts w:asciiTheme="majorHAnsi" w:hAnsiTheme="majorHAnsi"/>
        </w:rPr>
      </w:pPr>
      <w:r>
        <w:rPr>
          <w:rFonts w:asciiTheme="majorHAnsi" w:hAnsiTheme="majorHAnsi"/>
          <w:rtl w:val="0"/>
          <w:lang w:val="fr"/>
        </w:rPr>
        <w:t xml:space="preserve">Les salaires comprennent les avantages sociaux qui incluent souvent les vacances, les soins de santé et le congé parental. Ces coûts varient d'une organisation à l'autre.  Ce poste budgétaire ne sera pas propre au travail de GC. </w:t>
      </w:r>
    </w:p>
    <w:p w:rsidR="0080107B" w:rsidRPr="0080107B" w:rsidP="007E6B69" w14:paraId="3BF0BEE1" w14:textId="77777777">
      <w:pPr>
        <w:pStyle w:val="Heading2"/>
        <w:bidi w:val="0"/>
        <w:spacing w:after="120"/>
      </w:pPr>
      <w:r w:rsidRPr="0080107B">
        <w:rPr>
          <w:rtl w:val="0"/>
          <w:lang w:val="fr"/>
        </w:rPr>
        <w:t xml:space="preserve">Consultants </w:t>
      </w:r>
    </w:p>
    <w:p w:rsidR="003F078D" w:rsidRPr="00961FF2" w:rsidP="00961FF2" w14:paraId="1DD7A3F1" w14:textId="71FD08DB">
      <w:pPr>
        <w:bidi w:val="0"/>
        <w:rPr>
          <w:rFonts w:asciiTheme="majorHAnsi" w:hAnsiTheme="majorHAnsi"/>
        </w:rPr>
      </w:pPr>
      <w:r>
        <w:rPr>
          <w:rFonts w:asciiTheme="majorHAnsi" w:hAnsiTheme="majorHAnsi"/>
          <w:rtl w:val="0"/>
          <w:lang w:val="fr"/>
        </w:rPr>
        <w:t xml:space="preserve">Les consultants sont utilisés pour accomplir des tâches que le personnel actuel n'a pas les compétences ou le temps d'accomplir lui-même. Tenez compte des compétences nécessaires, du nombre de jours et du taux de rémunération attendu. Les stratégies de GC font appel à des consultants pour réaliser des évaluations des besoins, rédiger et éditer des documents de GC et mettre en œuvre certaines activités, notamment celles axées sur la santé numérique, les TIC, la promotion et la diffusion. Le type de financement limite également le taux journalier maximum. Les projets financés par l'USAID exigent que les consultants remplissent un formulaire indiquant l'historique des salaires, connu sous le nom de </w:t>
      </w:r>
      <w:hyperlink r:id="rId5" w:history="1">
        <w:r w:rsidRPr="0003139E" w:rsidR="00380514">
          <w:rPr>
            <w:rStyle w:val="Hyperlink"/>
            <w:rFonts w:asciiTheme="majorHAnsi" w:hAnsiTheme="majorHAnsi"/>
            <w:rtl w:val="0"/>
            <w:lang w:val="fr"/>
          </w:rPr>
          <w:t>1420</w:t>
        </w:r>
      </w:hyperlink>
      <w:r>
        <w:rPr>
          <w:rFonts w:asciiTheme="majorHAnsi" w:hAnsiTheme="majorHAnsi"/>
          <w:rtl w:val="0"/>
          <w:lang w:val="fr"/>
        </w:rPr>
        <w:t>.</w:t>
      </w:r>
    </w:p>
    <w:p w:rsidR="00B4571C" w:rsidRPr="00B4571C" w:rsidP="00513423" w14:paraId="74B92519" w14:textId="77777777">
      <w:pPr>
        <w:pStyle w:val="Heading2"/>
        <w:bidi w:val="0"/>
        <w:spacing w:after="120"/>
      </w:pPr>
      <w:r w:rsidRPr="00B4571C">
        <w:rPr>
          <w:rtl w:val="0"/>
          <w:lang w:val="fr"/>
        </w:rPr>
        <w:t xml:space="preserve">Fournitures </w:t>
      </w:r>
    </w:p>
    <w:p w:rsidR="00381D5A" w:rsidRPr="00961FF2" w:rsidP="00D372B3" w14:paraId="7DD11408" w14:textId="77777777">
      <w:pPr>
        <w:bidi w:val="0"/>
        <w:rPr>
          <w:rFonts w:asciiTheme="majorHAnsi" w:hAnsiTheme="majorHAnsi"/>
        </w:rPr>
      </w:pPr>
      <w:r>
        <w:rPr>
          <w:rFonts w:asciiTheme="majorHAnsi" w:hAnsiTheme="majorHAnsi"/>
          <w:rtl w:val="0"/>
          <w:lang w:val="fr"/>
        </w:rPr>
        <w:t xml:space="preserve">Vous devrez dresser la liste des fournitures nécessaires pour soutenir les activités de GC identifiées dans vos stratégies de GC. Les fournitures courantes pour le travail de GC comprennent les clés USB pour le partage de documents électroniques et le papier pour l'impression de copies papier. Des ordinateurs, des photocopieurs, des scanners et des graveurs de clés USB peuvent également être nécessaires. Justifiez chaque élément en expliquant comment il est nécessaire pour réaliser l'activité correspondante. Dans les projets de l'USAID, les articles dont le coût est égal ou supérieur à 25 000 dollars sont classés comme équipement. La plupart des stratégies de GC n'auront pas des dépenses aussi élevées que cela.  </w:t>
      </w:r>
    </w:p>
    <w:p w:rsidR="00B4571C" w:rsidRPr="003B3BCF" w:rsidP="003B3BCF" w14:paraId="58FA8319" w14:textId="77777777">
      <w:pPr>
        <w:pStyle w:val="Heading2"/>
        <w:bidi w:val="0"/>
      </w:pPr>
      <w:r w:rsidRPr="003B3BCF">
        <w:rPr>
          <w:rtl w:val="0"/>
          <w:lang w:val="fr"/>
        </w:rPr>
        <w:t xml:space="preserve">Voyages </w:t>
      </w:r>
    </w:p>
    <w:p w:rsidR="003F078D" w:rsidP="00961FF2" w14:paraId="1D842A3B" w14:textId="77777777">
      <w:pPr>
        <w:bidi w:val="0"/>
        <w:rPr>
          <w:rFonts w:asciiTheme="majorHAnsi" w:hAnsiTheme="majorHAnsi"/>
        </w:rPr>
      </w:pPr>
      <w:r>
        <w:rPr>
          <w:rFonts w:asciiTheme="majorHAnsi" w:hAnsiTheme="majorHAnsi"/>
          <w:rtl w:val="0"/>
          <w:lang w:val="fr"/>
        </w:rPr>
        <w:t xml:space="preserve">Les voyages pour rencontrer les parties prenantes sont importants pour les stratégies de gestion des connaissances, à des fins de collecte, d'échange et de partage des connaissances. Les directives de financement dictent souvent les limites des dépenses pour l'hôtel, les repas et les frais accessoires, tels que les </w:t>
      </w:r>
      <w:hyperlink r:id="rId6" w:history="1">
        <w:r w:rsidRPr="0003139E" w:rsidR="00D372B3">
          <w:rPr>
            <w:rStyle w:val="Hyperlink"/>
            <w:rFonts w:asciiTheme="majorHAnsi" w:hAnsiTheme="majorHAnsi"/>
            <w:rtl w:val="0"/>
            <w:lang w:val="fr"/>
          </w:rPr>
          <w:t>limites des indemnités journalières de l'USAID</w:t>
        </w:r>
      </w:hyperlink>
      <w:r>
        <w:rPr>
          <w:rFonts w:asciiTheme="majorHAnsi" w:hAnsiTheme="majorHAnsi"/>
          <w:rtl w:val="0"/>
          <w:lang w:val="fr"/>
        </w:rPr>
        <w:t xml:space="preserve">. Notez le but et le nombre de voyages ainsi que le nombre de voyageurs, les billets d'avion, l'hébergement, les repas et le transport terrestre. </w:t>
      </w:r>
    </w:p>
    <w:p w:rsidR="003B3BCF" w:rsidRPr="004640D7" w:rsidP="004640D7" w14:paraId="7254CC3B" w14:textId="77777777">
      <w:pPr>
        <w:pStyle w:val="Heading2"/>
        <w:bidi w:val="0"/>
      </w:pPr>
      <w:r w:rsidRPr="004640D7">
        <w:rPr>
          <w:rtl w:val="0"/>
          <w:lang w:val="fr"/>
        </w:rPr>
        <w:t xml:space="preserve">Contrats </w:t>
      </w:r>
    </w:p>
    <w:p w:rsidR="0003139E" w:rsidRPr="00961FF2" w:rsidP="00961FF2" w14:paraId="3A2BF97B" w14:textId="77777777">
      <w:pPr>
        <w:bidi w:val="0"/>
        <w:rPr>
          <w:rFonts w:asciiTheme="majorHAnsi" w:hAnsiTheme="majorHAnsi"/>
        </w:rPr>
      </w:pPr>
      <w:r>
        <w:rPr>
          <w:rFonts w:asciiTheme="majorHAnsi" w:hAnsiTheme="majorHAnsi"/>
          <w:rtl w:val="0"/>
          <w:lang w:val="fr"/>
        </w:rPr>
        <w:t xml:space="preserve">Les contrats ressemblent à des consultations, mais pour des organisations plutôt que des individus ; les bons de commande, les contrats de sous-traitance et les partenariats sont des outils similaires. Ces outils sont souvent utilisés pour des tâches plus importantes et plus compliquées. Dans votre budget, indiquez l'étendue des travaux, les produits livrables et les paiements d'étape, ainsi que la période d'exécution. Les stratégies de GC utilisent souvent des contrats pour s'associer à des organisations qui ont des compétences spécialisées ou une expérience de la gestion de plans de travail complexes, notamment ceux axés sur la santé numérique ou la planification des ressources. </w:t>
      </w:r>
    </w:p>
    <w:p w:rsidR="003F078D" w:rsidRPr="003B3BCF" w:rsidP="00513423" w14:paraId="440EBBE0" w14:textId="77777777">
      <w:pPr>
        <w:pStyle w:val="Heading2"/>
        <w:bidi w:val="0"/>
        <w:spacing w:after="120"/>
      </w:pPr>
      <w:r>
        <w:rPr>
          <w:rtl w:val="0"/>
          <w:lang w:val="fr"/>
        </w:rPr>
        <w:t>Coûts indirects</w:t>
      </w:r>
    </w:p>
    <w:p w:rsidR="0003139E" w14:paraId="044A5233" w14:textId="77777777">
      <w:pPr>
        <w:bidi w:val="0"/>
        <w:rPr>
          <w:rFonts w:eastAsia="Calibri" w:cs="Arial"/>
          <w:szCs w:val="24"/>
        </w:rPr>
      </w:pPr>
      <w:r w:rsidRPr="00961FF2">
        <w:rPr>
          <w:rFonts w:asciiTheme="majorHAnsi" w:hAnsiTheme="majorHAnsi"/>
          <w:rtl w:val="0"/>
          <w:lang w:val="fr"/>
        </w:rPr>
        <w:t xml:space="preserve">Les coûts indirects comprennent le coût des locaux et des équipements de bureau (s'ils ne sont pas achetés neufs). Comme pour les avantages sociaux, le taux des coûts indirects varie d'une organisation à l'autre et d'un donateur à l'autre. L'USAID et d'autres bailleurs de fonds utilisent souvent des accords négociés sur les taux de coûts indirects ou NICRA en abrégé. Les taux indirects sont exprimés en pourcentage du total des coûts directs modifiés. Souvent, les organisations ont des taux différents pour leur siège et leurs bureaux extérieurs. </w:t>
      </w:r>
    </w:p>
    <w:p w:rsidR="003F078D" w:rsidRPr="00781C69" w:rsidP="000D20B9" w14:paraId="32402F7E" w14:textId="77777777">
      <w:pPr>
        <w:bidi w:val="0"/>
        <w:spacing w:before="160" w:line="276" w:lineRule="auto"/>
        <w:rPr>
          <w:rFonts w:eastAsia="Calibri" w:cs="Arial"/>
          <w:b/>
          <w:szCs w:val="24"/>
        </w:rPr>
      </w:pPr>
      <w:r w:rsidRPr="00781C69">
        <w:rPr>
          <w:rFonts w:eastAsia="Calibri" w:cs="Arial"/>
          <w:b/>
          <w:szCs w:val="24"/>
          <w:rtl w:val="0"/>
          <w:lang w:val="fr"/>
        </w:rPr>
        <w:t xml:space="preserve">Modèle de budget </w:t>
      </w:r>
    </w:p>
    <w:tbl>
      <w:tblPr>
        <w:tblStyle w:val="TableGrid"/>
        <w:tblW w:w="5000" w:type="pct"/>
        <w:tblLook w:val="04A0"/>
      </w:tblPr>
      <w:tblGrid>
        <w:gridCol w:w="5338"/>
        <w:gridCol w:w="902"/>
        <w:gridCol w:w="1622"/>
        <w:gridCol w:w="1714"/>
      </w:tblGrid>
      <w:tr w14:paraId="41493717" w14:textId="77777777" w:rsidTr="00781C69">
        <w:tblPrEx>
          <w:tblW w:w="5000" w:type="pct"/>
          <w:tblLook w:val="04A0"/>
        </w:tblPrEx>
        <w:tc>
          <w:tcPr>
            <w:tcW w:w="2787" w:type="pct"/>
          </w:tcPr>
          <w:p w:rsidR="003F078D" w:rsidRPr="00FA1378" w:rsidP="00CB5F7D" w14:paraId="636ABAC1" w14:textId="77777777">
            <w:pPr>
              <w:bidi w:val="0"/>
              <w:rPr>
                <w:rFonts w:asciiTheme="majorHAnsi" w:hAnsiTheme="majorHAnsi"/>
                <w:b/>
              </w:rPr>
            </w:pPr>
            <w:r w:rsidRPr="00FA1378">
              <w:rPr>
                <w:rFonts w:asciiTheme="majorHAnsi" w:hAnsiTheme="majorHAnsi"/>
                <w:b/>
                <w:rtl w:val="0"/>
                <w:lang w:val="fr"/>
              </w:rPr>
              <w:t>Article</w:t>
            </w:r>
          </w:p>
        </w:tc>
        <w:tc>
          <w:tcPr>
            <w:tcW w:w="471" w:type="pct"/>
          </w:tcPr>
          <w:p w:rsidR="003F078D" w:rsidRPr="00FA1378" w:rsidP="00CB5F7D" w14:paraId="108B70FB" w14:textId="77777777">
            <w:pPr>
              <w:bidi w:val="0"/>
              <w:rPr>
                <w:rFonts w:asciiTheme="majorHAnsi" w:hAnsiTheme="majorHAnsi"/>
                <w:b/>
              </w:rPr>
            </w:pPr>
            <w:r w:rsidRPr="00FA1378">
              <w:rPr>
                <w:rFonts w:asciiTheme="majorHAnsi" w:hAnsiTheme="majorHAnsi"/>
                <w:b/>
                <w:rtl w:val="0"/>
                <w:lang w:val="fr"/>
              </w:rPr>
              <w:t>Unité</w:t>
            </w:r>
          </w:p>
        </w:tc>
        <w:tc>
          <w:tcPr>
            <w:tcW w:w="847" w:type="pct"/>
          </w:tcPr>
          <w:p w:rsidR="003F078D" w:rsidRPr="00FA1378" w:rsidP="00CB5F7D" w14:paraId="507A121E" w14:textId="77777777">
            <w:pPr>
              <w:bidi w:val="0"/>
              <w:rPr>
                <w:rFonts w:asciiTheme="majorHAnsi" w:hAnsiTheme="majorHAnsi"/>
                <w:b/>
              </w:rPr>
            </w:pPr>
            <w:r w:rsidRPr="00FA1378">
              <w:rPr>
                <w:rFonts w:asciiTheme="majorHAnsi" w:hAnsiTheme="majorHAnsi"/>
                <w:b/>
                <w:rtl w:val="0"/>
                <w:lang w:val="fr"/>
              </w:rPr>
              <w:t>taux</w:t>
            </w:r>
          </w:p>
        </w:tc>
        <w:tc>
          <w:tcPr>
            <w:tcW w:w="895" w:type="pct"/>
          </w:tcPr>
          <w:p w:rsidR="003F078D" w:rsidRPr="00FA1378" w:rsidP="00CB5F7D" w14:paraId="7615E6EE" w14:textId="77777777">
            <w:pPr>
              <w:bidi w:val="0"/>
              <w:rPr>
                <w:rFonts w:asciiTheme="majorHAnsi" w:hAnsiTheme="majorHAnsi"/>
                <w:b/>
              </w:rPr>
            </w:pPr>
            <w:r w:rsidRPr="00FA1378">
              <w:rPr>
                <w:rFonts w:asciiTheme="majorHAnsi" w:hAnsiTheme="majorHAnsi"/>
                <w:b/>
                <w:rtl w:val="0"/>
                <w:lang w:val="fr"/>
              </w:rPr>
              <w:t>Total</w:t>
            </w:r>
          </w:p>
        </w:tc>
      </w:tr>
      <w:tr w14:paraId="5E2C7417" w14:textId="77777777" w:rsidTr="00781C69">
        <w:tblPrEx>
          <w:tblW w:w="5000" w:type="pct"/>
          <w:tblLook w:val="04A0"/>
        </w:tblPrEx>
        <w:tc>
          <w:tcPr>
            <w:tcW w:w="2787" w:type="pct"/>
          </w:tcPr>
          <w:p w:rsidR="00B945B6" w:rsidRPr="00FA1378" w:rsidP="00381D5A" w14:paraId="30D3464C" w14:textId="77777777">
            <w:pPr>
              <w:bidi w:val="0"/>
              <w:rPr>
                <w:rFonts w:asciiTheme="majorHAnsi" w:hAnsiTheme="majorHAnsi"/>
              </w:rPr>
            </w:pPr>
            <w:r>
              <w:rPr>
                <w:rFonts w:asciiTheme="majorHAnsi" w:hAnsiTheme="majorHAnsi"/>
                <w:rtl w:val="0"/>
                <w:lang w:val="fr"/>
              </w:rPr>
              <w:t xml:space="preserve">Salaires </w:t>
            </w:r>
          </w:p>
        </w:tc>
        <w:tc>
          <w:tcPr>
            <w:tcW w:w="471" w:type="pct"/>
          </w:tcPr>
          <w:p w:rsidR="003F078D" w:rsidRPr="00FA1378" w:rsidP="00CB5F7D" w14:paraId="343C9C64" w14:textId="77777777">
            <w:pPr>
              <w:rPr>
                <w:rFonts w:asciiTheme="majorHAnsi" w:hAnsiTheme="majorHAnsi"/>
              </w:rPr>
            </w:pPr>
          </w:p>
        </w:tc>
        <w:tc>
          <w:tcPr>
            <w:tcW w:w="847" w:type="pct"/>
          </w:tcPr>
          <w:p w:rsidR="003F078D" w:rsidRPr="00FA1378" w:rsidP="00CB5F7D" w14:paraId="14486672" w14:textId="77777777">
            <w:pPr>
              <w:rPr>
                <w:rFonts w:asciiTheme="majorHAnsi" w:hAnsiTheme="majorHAnsi"/>
              </w:rPr>
            </w:pPr>
          </w:p>
        </w:tc>
        <w:tc>
          <w:tcPr>
            <w:tcW w:w="895" w:type="pct"/>
          </w:tcPr>
          <w:p w:rsidR="003F078D" w:rsidRPr="00FA1378" w:rsidP="00CB5F7D" w14:paraId="388EED25" w14:textId="77777777">
            <w:pPr>
              <w:rPr>
                <w:rFonts w:asciiTheme="majorHAnsi" w:hAnsiTheme="majorHAnsi"/>
              </w:rPr>
            </w:pPr>
          </w:p>
        </w:tc>
      </w:tr>
      <w:tr w14:paraId="5FE63262" w14:textId="77777777" w:rsidTr="00781C69">
        <w:tblPrEx>
          <w:tblW w:w="5000" w:type="pct"/>
          <w:tblLook w:val="04A0"/>
        </w:tblPrEx>
        <w:tc>
          <w:tcPr>
            <w:tcW w:w="2787" w:type="pct"/>
          </w:tcPr>
          <w:p w:rsidR="003F078D" w:rsidRPr="00FA1378" w:rsidP="00CB5F7D" w14:paraId="6A6E736A" w14:textId="77777777">
            <w:pPr>
              <w:rPr>
                <w:rFonts w:asciiTheme="majorHAnsi" w:hAnsiTheme="majorHAnsi"/>
              </w:rPr>
            </w:pPr>
          </w:p>
        </w:tc>
        <w:tc>
          <w:tcPr>
            <w:tcW w:w="471" w:type="pct"/>
          </w:tcPr>
          <w:p w:rsidR="003F078D" w:rsidRPr="00FA1378" w:rsidP="00CB5F7D" w14:paraId="2A4E9A47" w14:textId="77777777">
            <w:pPr>
              <w:rPr>
                <w:rFonts w:asciiTheme="majorHAnsi" w:hAnsiTheme="majorHAnsi"/>
              </w:rPr>
            </w:pPr>
          </w:p>
        </w:tc>
        <w:tc>
          <w:tcPr>
            <w:tcW w:w="847" w:type="pct"/>
          </w:tcPr>
          <w:p w:rsidR="003F078D" w:rsidRPr="00FA1378" w:rsidP="00CB5F7D" w14:paraId="2481576F" w14:textId="77777777">
            <w:pPr>
              <w:rPr>
                <w:rFonts w:asciiTheme="majorHAnsi" w:hAnsiTheme="majorHAnsi"/>
              </w:rPr>
            </w:pPr>
          </w:p>
        </w:tc>
        <w:tc>
          <w:tcPr>
            <w:tcW w:w="895" w:type="pct"/>
          </w:tcPr>
          <w:p w:rsidR="003F078D" w:rsidRPr="00FA1378" w:rsidP="00CB5F7D" w14:paraId="1103F54D" w14:textId="77777777">
            <w:pPr>
              <w:rPr>
                <w:rFonts w:asciiTheme="majorHAnsi" w:hAnsiTheme="majorHAnsi"/>
              </w:rPr>
            </w:pPr>
          </w:p>
        </w:tc>
      </w:tr>
      <w:tr w14:paraId="583A2588" w14:textId="77777777" w:rsidTr="00781C69">
        <w:tblPrEx>
          <w:tblW w:w="5000" w:type="pct"/>
          <w:tblLook w:val="04A0"/>
        </w:tblPrEx>
        <w:tc>
          <w:tcPr>
            <w:tcW w:w="2787" w:type="pct"/>
          </w:tcPr>
          <w:p w:rsidR="00B945B6" w:rsidP="00381D5A" w14:paraId="1D27C846" w14:textId="77777777">
            <w:pPr>
              <w:bidi w:val="0"/>
              <w:rPr>
                <w:rFonts w:asciiTheme="majorHAnsi" w:hAnsiTheme="majorHAnsi"/>
              </w:rPr>
            </w:pPr>
            <w:r>
              <w:rPr>
                <w:rFonts w:asciiTheme="majorHAnsi" w:hAnsiTheme="majorHAnsi"/>
                <w:rtl w:val="0"/>
                <w:lang w:val="fr"/>
              </w:rPr>
              <w:t>Consultants</w:t>
            </w:r>
          </w:p>
        </w:tc>
        <w:tc>
          <w:tcPr>
            <w:tcW w:w="471" w:type="pct"/>
          </w:tcPr>
          <w:p w:rsidR="003F078D" w:rsidRPr="00FA1378" w:rsidP="00CB5F7D" w14:paraId="1A3AE3C6" w14:textId="77777777">
            <w:pPr>
              <w:rPr>
                <w:rFonts w:asciiTheme="majorHAnsi" w:hAnsiTheme="majorHAnsi"/>
              </w:rPr>
            </w:pPr>
          </w:p>
        </w:tc>
        <w:tc>
          <w:tcPr>
            <w:tcW w:w="847" w:type="pct"/>
          </w:tcPr>
          <w:p w:rsidR="003F078D" w:rsidRPr="00FA1378" w:rsidP="00CB5F7D" w14:paraId="6040DB33" w14:textId="77777777">
            <w:pPr>
              <w:rPr>
                <w:rFonts w:asciiTheme="majorHAnsi" w:hAnsiTheme="majorHAnsi"/>
              </w:rPr>
            </w:pPr>
          </w:p>
        </w:tc>
        <w:tc>
          <w:tcPr>
            <w:tcW w:w="895" w:type="pct"/>
          </w:tcPr>
          <w:p w:rsidR="003F078D" w:rsidRPr="00FA1378" w:rsidP="00CB5F7D" w14:paraId="33261D2D" w14:textId="77777777">
            <w:pPr>
              <w:rPr>
                <w:rFonts w:asciiTheme="majorHAnsi" w:hAnsiTheme="majorHAnsi"/>
              </w:rPr>
            </w:pPr>
          </w:p>
        </w:tc>
      </w:tr>
      <w:tr w14:paraId="61571704" w14:textId="77777777" w:rsidTr="00781C69">
        <w:tblPrEx>
          <w:tblW w:w="5000" w:type="pct"/>
          <w:tblLook w:val="04A0"/>
        </w:tblPrEx>
        <w:tc>
          <w:tcPr>
            <w:tcW w:w="2787" w:type="pct"/>
          </w:tcPr>
          <w:p w:rsidR="003F078D" w:rsidP="00CB5F7D" w14:paraId="49BEB89C" w14:textId="77777777">
            <w:pPr>
              <w:rPr>
                <w:rFonts w:asciiTheme="majorHAnsi" w:hAnsiTheme="majorHAnsi"/>
              </w:rPr>
            </w:pPr>
          </w:p>
        </w:tc>
        <w:tc>
          <w:tcPr>
            <w:tcW w:w="471" w:type="pct"/>
          </w:tcPr>
          <w:p w:rsidR="003F078D" w:rsidRPr="00FA1378" w:rsidP="00CB5F7D" w14:paraId="34BD0939" w14:textId="77777777">
            <w:pPr>
              <w:rPr>
                <w:rFonts w:asciiTheme="majorHAnsi" w:hAnsiTheme="majorHAnsi"/>
              </w:rPr>
            </w:pPr>
          </w:p>
        </w:tc>
        <w:tc>
          <w:tcPr>
            <w:tcW w:w="847" w:type="pct"/>
          </w:tcPr>
          <w:p w:rsidR="003F078D" w:rsidRPr="00FA1378" w:rsidP="00CB5F7D" w14:paraId="53178D4C" w14:textId="77777777">
            <w:pPr>
              <w:rPr>
                <w:rFonts w:asciiTheme="majorHAnsi" w:hAnsiTheme="majorHAnsi"/>
              </w:rPr>
            </w:pPr>
          </w:p>
        </w:tc>
        <w:tc>
          <w:tcPr>
            <w:tcW w:w="895" w:type="pct"/>
          </w:tcPr>
          <w:p w:rsidR="003F078D" w:rsidRPr="00FA1378" w:rsidP="00CB5F7D" w14:paraId="49948249" w14:textId="77777777">
            <w:pPr>
              <w:rPr>
                <w:rFonts w:asciiTheme="majorHAnsi" w:hAnsiTheme="majorHAnsi"/>
              </w:rPr>
            </w:pPr>
          </w:p>
        </w:tc>
      </w:tr>
      <w:tr w14:paraId="201DA1E2" w14:textId="77777777" w:rsidTr="00781C69">
        <w:tblPrEx>
          <w:tblW w:w="5000" w:type="pct"/>
          <w:tblLook w:val="04A0"/>
        </w:tblPrEx>
        <w:tc>
          <w:tcPr>
            <w:tcW w:w="2787" w:type="pct"/>
          </w:tcPr>
          <w:p w:rsidR="00B945B6" w:rsidP="0003139E" w14:paraId="651ACEE4" w14:textId="77777777">
            <w:pPr>
              <w:bidi w:val="0"/>
              <w:rPr>
                <w:rFonts w:asciiTheme="majorHAnsi" w:hAnsiTheme="majorHAnsi"/>
              </w:rPr>
            </w:pPr>
            <w:r>
              <w:rPr>
                <w:rFonts w:asciiTheme="majorHAnsi" w:hAnsiTheme="majorHAnsi"/>
                <w:rtl w:val="0"/>
                <w:lang w:val="fr"/>
              </w:rPr>
              <w:t>Fournitures</w:t>
            </w:r>
          </w:p>
        </w:tc>
        <w:tc>
          <w:tcPr>
            <w:tcW w:w="471" w:type="pct"/>
          </w:tcPr>
          <w:p w:rsidR="003F078D" w:rsidRPr="00FA1378" w:rsidP="00CB5F7D" w14:paraId="507FE3E2" w14:textId="77777777">
            <w:pPr>
              <w:rPr>
                <w:rFonts w:asciiTheme="majorHAnsi" w:hAnsiTheme="majorHAnsi"/>
              </w:rPr>
            </w:pPr>
          </w:p>
        </w:tc>
        <w:tc>
          <w:tcPr>
            <w:tcW w:w="847" w:type="pct"/>
          </w:tcPr>
          <w:p w:rsidR="003F078D" w:rsidRPr="00FA1378" w:rsidP="00CB5F7D" w14:paraId="555633E3" w14:textId="77777777">
            <w:pPr>
              <w:rPr>
                <w:rFonts w:asciiTheme="majorHAnsi" w:hAnsiTheme="majorHAnsi"/>
              </w:rPr>
            </w:pPr>
          </w:p>
        </w:tc>
        <w:tc>
          <w:tcPr>
            <w:tcW w:w="895" w:type="pct"/>
          </w:tcPr>
          <w:p w:rsidR="003F078D" w:rsidRPr="00FA1378" w:rsidP="00CB5F7D" w14:paraId="67115CAF" w14:textId="77777777">
            <w:pPr>
              <w:rPr>
                <w:rFonts w:asciiTheme="majorHAnsi" w:hAnsiTheme="majorHAnsi"/>
              </w:rPr>
            </w:pPr>
          </w:p>
        </w:tc>
      </w:tr>
      <w:tr w14:paraId="5E08FB2C" w14:textId="77777777" w:rsidTr="00781C69">
        <w:tblPrEx>
          <w:tblW w:w="5000" w:type="pct"/>
          <w:tblLook w:val="04A0"/>
        </w:tblPrEx>
        <w:tc>
          <w:tcPr>
            <w:tcW w:w="2787" w:type="pct"/>
          </w:tcPr>
          <w:p w:rsidR="003F078D" w:rsidP="00CB5F7D" w14:paraId="2BD81BB1" w14:textId="77777777">
            <w:pPr>
              <w:rPr>
                <w:rFonts w:asciiTheme="majorHAnsi" w:hAnsiTheme="majorHAnsi"/>
              </w:rPr>
            </w:pPr>
          </w:p>
        </w:tc>
        <w:tc>
          <w:tcPr>
            <w:tcW w:w="471" w:type="pct"/>
          </w:tcPr>
          <w:p w:rsidR="003F078D" w:rsidRPr="00FA1378" w:rsidP="00CB5F7D" w14:paraId="1CAB1ECF" w14:textId="77777777">
            <w:pPr>
              <w:rPr>
                <w:rFonts w:asciiTheme="majorHAnsi" w:hAnsiTheme="majorHAnsi"/>
              </w:rPr>
            </w:pPr>
          </w:p>
        </w:tc>
        <w:tc>
          <w:tcPr>
            <w:tcW w:w="847" w:type="pct"/>
          </w:tcPr>
          <w:p w:rsidR="003F078D" w:rsidRPr="00FA1378" w:rsidP="00CB5F7D" w14:paraId="6BC9A5F1" w14:textId="77777777">
            <w:pPr>
              <w:rPr>
                <w:rFonts w:asciiTheme="majorHAnsi" w:hAnsiTheme="majorHAnsi"/>
              </w:rPr>
            </w:pPr>
          </w:p>
        </w:tc>
        <w:tc>
          <w:tcPr>
            <w:tcW w:w="895" w:type="pct"/>
          </w:tcPr>
          <w:p w:rsidR="003F078D" w:rsidRPr="00FA1378" w:rsidP="00CB5F7D" w14:paraId="31EFF7FA" w14:textId="77777777">
            <w:pPr>
              <w:rPr>
                <w:rFonts w:asciiTheme="majorHAnsi" w:hAnsiTheme="majorHAnsi"/>
              </w:rPr>
            </w:pPr>
          </w:p>
        </w:tc>
      </w:tr>
      <w:tr w14:paraId="2E485D1F" w14:textId="77777777" w:rsidTr="00781C69">
        <w:tblPrEx>
          <w:tblW w:w="5000" w:type="pct"/>
          <w:tblLook w:val="04A0"/>
        </w:tblPrEx>
        <w:tc>
          <w:tcPr>
            <w:tcW w:w="2787" w:type="pct"/>
          </w:tcPr>
          <w:p w:rsidR="003F078D" w:rsidRPr="00FA1378" w:rsidP="00CB5F7D" w14:paraId="1998C085" w14:textId="77777777">
            <w:pPr>
              <w:bidi w:val="0"/>
              <w:rPr>
                <w:rFonts w:asciiTheme="majorHAnsi" w:hAnsiTheme="majorHAnsi"/>
              </w:rPr>
            </w:pPr>
            <w:r>
              <w:rPr>
                <w:rFonts w:asciiTheme="majorHAnsi" w:hAnsiTheme="majorHAnsi"/>
                <w:rtl w:val="0"/>
                <w:lang w:val="fr"/>
              </w:rPr>
              <w:t>Voyages</w:t>
            </w:r>
          </w:p>
        </w:tc>
        <w:tc>
          <w:tcPr>
            <w:tcW w:w="471" w:type="pct"/>
          </w:tcPr>
          <w:p w:rsidR="003F078D" w:rsidRPr="00FA1378" w:rsidP="00CB5F7D" w14:paraId="141E799F" w14:textId="77777777">
            <w:pPr>
              <w:rPr>
                <w:rFonts w:asciiTheme="majorHAnsi" w:hAnsiTheme="majorHAnsi"/>
              </w:rPr>
            </w:pPr>
          </w:p>
        </w:tc>
        <w:tc>
          <w:tcPr>
            <w:tcW w:w="847" w:type="pct"/>
          </w:tcPr>
          <w:p w:rsidR="003F078D" w:rsidRPr="00FA1378" w:rsidP="00CB5F7D" w14:paraId="702C914A" w14:textId="77777777">
            <w:pPr>
              <w:rPr>
                <w:rFonts w:asciiTheme="majorHAnsi" w:hAnsiTheme="majorHAnsi"/>
              </w:rPr>
            </w:pPr>
          </w:p>
        </w:tc>
        <w:tc>
          <w:tcPr>
            <w:tcW w:w="895" w:type="pct"/>
          </w:tcPr>
          <w:p w:rsidR="003F078D" w:rsidRPr="00FA1378" w:rsidP="00CB5F7D" w14:paraId="78CEBD7D" w14:textId="77777777">
            <w:pPr>
              <w:rPr>
                <w:rFonts w:asciiTheme="majorHAnsi" w:hAnsiTheme="majorHAnsi"/>
              </w:rPr>
            </w:pPr>
          </w:p>
        </w:tc>
      </w:tr>
      <w:tr w14:paraId="5EA91B13" w14:textId="77777777" w:rsidTr="00781C69">
        <w:tblPrEx>
          <w:tblW w:w="5000" w:type="pct"/>
          <w:tblLook w:val="04A0"/>
        </w:tblPrEx>
        <w:tc>
          <w:tcPr>
            <w:tcW w:w="2787" w:type="pct"/>
          </w:tcPr>
          <w:p w:rsidR="003F078D" w:rsidRPr="00FA1378" w:rsidP="00CB5F7D" w14:paraId="292939B7" w14:textId="77777777">
            <w:pPr>
              <w:rPr>
                <w:rFonts w:asciiTheme="majorHAnsi" w:hAnsiTheme="majorHAnsi"/>
              </w:rPr>
            </w:pPr>
          </w:p>
        </w:tc>
        <w:tc>
          <w:tcPr>
            <w:tcW w:w="471" w:type="pct"/>
          </w:tcPr>
          <w:p w:rsidR="003F078D" w:rsidRPr="00FA1378" w:rsidP="00CB5F7D" w14:paraId="2D97F7F3" w14:textId="77777777">
            <w:pPr>
              <w:rPr>
                <w:rFonts w:asciiTheme="majorHAnsi" w:hAnsiTheme="majorHAnsi"/>
              </w:rPr>
            </w:pPr>
          </w:p>
        </w:tc>
        <w:tc>
          <w:tcPr>
            <w:tcW w:w="847" w:type="pct"/>
          </w:tcPr>
          <w:p w:rsidR="003F078D" w:rsidRPr="00FA1378" w:rsidP="00CB5F7D" w14:paraId="3A0FF048" w14:textId="77777777">
            <w:pPr>
              <w:rPr>
                <w:rFonts w:asciiTheme="majorHAnsi" w:hAnsiTheme="majorHAnsi"/>
              </w:rPr>
            </w:pPr>
          </w:p>
        </w:tc>
        <w:tc>
          <w:tcPr>
            <w:tcW w:w="895" w:type="pct"/>
          </w:tcPr>
          <w:p w:rsidR="003F078D" w:rsidRPr="00FA1378" w:rsidP="00CB5F7D" w14:paraId="1081CD2E" w14:textId="77777777">
            <w:pPr>
              <w:rPr>
                <w:rFonts w:asciiTheme="majorHAnsi" w:hAnsiTheme="majorHAnsi"/>
              </w:rPr>
            </w:pPr>
          </w:p>
        </w:tc>
      </w:tr>
      <w:tr w14:paraId="5BDA9E17" w14:textId="77777777" w:rsidTr="00781C69">
        <w:tblPrEx>
          <w:tblW w:w="5000" w:type="pct"/>
          <w:tblLook w:val="04A0"/>
        </w:tblPrEx>
        <w:tc>
          <w:tcPr>
            <w:tcW w:w="2787" w:type="pct"/>
          </w:tcPr>
          <w:p w:rsidR="003F078D" w:rsidRPr="00FA1378" w:rsidP="0003139E" w14:paraId="18809F0B" w14:textId="77777777">
            <w:pPr>
              <w:bidi w:val="0"/>
              <w:rPr>
                <w:rFonts w:asciiTheme="majorHAnsi" w:hAnsiTheme="majorHAnsi"/>
              </w:rPr>
            </w:pPr>
            <w:r>
              <w:rPr>
                <w:rFonts w:asciiTheme="majorHAnsi" w:hAnsiTheme="majorHAnsi"/>
                <w:rtl w:val="0"/>
                <w:lang w:val="fr"/>
              </w:rPr>
              <w:t>Contrats</w:t>
            </w:r>
          </w:p>
        </w:tc>
        <w:tc>
          <w:tcPr>
            <w:tcW w:w="471" w:type="pct"/>
          </w:tcPr>
          <w:p w:rsidR="003F078D" w:rsidRPr="00FA1378" w:rsidP="00CB5F7D" w14:paraId="19621522" w14:textId="77777777">
            <w:pPr>
              <w:rPr>
                <w:rFonts w:asciiTheme="majorHAnsi" w:hAnsiTheme="majorHAnsi"/>
              </w:rPr>
            </w:pPr>
          </w:p>
        </w:tc>
        <w:tc>
          <w:tcPr>
            <w:tcW w:w="847" w:type="pct"/>
          </w:tcPr>
          <w:p w:rsidR="003F078D" w:rsidRPr="00FA1378" w:rsidP="00CB5F7D" w14:paraId="62D16C4D" w14:textId="77777777">
            <w:pPr>
              <w:rPr>
                <w:rFonts w:asciiTheme="majorHAnsi" w:hAnsiTheme="majorHAnsi"/>
              </w:rPr>
            </w:pPr>
          </w:p>
        </w:tc>
        <w:tc>
          <w:tcPr>
            <w:tcW w:w="895" w:type="pct"/>
          </w:tcPr>
          <w:p w:rsidR="003F078D" w:rsidRPr="00FA1378" w:rsidP="00CB5F7D" w14:paraId="1734B398" w14:textId="77777777">
            <w:pPr>
              <w:rPr>
                <w:rFonts w:asciiTheme="majorHAnsi" w:hAnsiTheme="majorHAnsi"/>
              </w:rPr>
            </w:pPr>
          </w:p>
        </w:tc>
      </w:tr>
      <w:tr w14:paraId="6645CC7C" w14:textId="77777777" w:rsidTr="00781C69">
        <w:tblPrEx>
          <w:tblW w:w="5000" w:type="pct"/>
          <w:tblLook w:val="04A0"/>
        </w:tblPrEx>
        <w:tc>
          <w:tcPr>
            <w:tcW w:w="2787" w:type="pct"/>
          </w:tcPr>
          <w:p w:rsidR="00B945B6" w:rsidRPr="00FA1378" w:rsidP="00CB5F7D" w14:paraId="6CEFCA52" w14:textId="77777777">
            <w:pPr>
              <w:rPr>
                <w:rFonts w:asciiTheme="majorHAnsi" w:hAnsiTheme="majorHAnsi"/>
              </w:rPr>
            </w:pPr>
          </w:p>
        </w:tc>
        <w:tc>
          <w:tcPr>
            <w:tcW w:w="471" w:type="pct"/>
          </w:tcPr>
          <w:p w:rsidR="00B945B6" w:rsidRPr="00FA1378" w:rsidP="00CB5F7D" w14:paraId="46319031" w14:textId="77777777">
            <w:pPr>
              <w:rPr>
                <w:rFonts w:asciiTheme="majorHAnsi" w:hAnsiTheme="majorHAnsi"/>
              </w:rPr>
            </w:pPr>
          </w:p>
        </w:tc>
        <w:tc>
          <w:tcPr>
            <w:tcW w:w="847" w:type="pct"/>
          </w:tcPr>
          <w:p w:rsidR="00B945B6" w:rsidRPr="00FA1378" w:rsidP="00CB5F7D" w14:paraId="767590EC" w14:textId="77777777">
            <w:pPr>
              <w:rPr>
                <w:rFonts w:asciiTheme="majorHAnsi" w:hAnsiTheme="majorHAnsi"/>
              </w:rPr>
            </w:pPr>
          </w:p>
        </w:tc>
        <w:tc>
          <w:tcPr>
            <w:tcW w:w="895" w:type="pct"/>
          </w:tcPr>
          <w:p w:rsidR="00B945B6" w:rsidRPr="00FA1378" w:rsidP="00CB5F7D" w14:paraId="1745A7DF" w14:textId="77777777">
            <w:pPr>
              <w:rPr>
                <w:rFonts w:asciiTheme="majorHAnsi" w:hAnsiTheme="majorHAnsi"/>
              </w:rPr>
            </w:pPr>
          </w:p>
        </w:tc>
      </w:tr>
      <w:tr w14:paraId="4BDFBDFC" w14:textId="77777777" w:rsidTr="00781C69">
        <w:tblPrEx>
          <w:tblW w:w="5000" w:type="pct"/>
          <w:tblLook w:val="04A0"/>
        </w:tblPrEx>
        <w:tc>
          <w:tcPr>
            <w:tcW w:w="2787" w:type="pct"/>
          </w:tcPr>
          <w:p w:rsidR="003F078D" w:rsidP="00CB5F7D" w14:paraId="1EC28CE9" w14:textId="77777777">
            <w:pPr>
              <w:bidi w:val="0"/>
              <w:rPr>
                <w:rFonts w:asciiTheme="majorHAnsi" w:hAnsiTheme="majorHAnsi"/>
              </w:rPr>
            </w:pPr>
            <w:r>
              <w:rPr>
                <w:rFonts w:asciiTheme="majorHAnsi" w:hAnsiTheme="majorHAnsi"/>
                <w:rtl w:val="0"/>
                <w:lang w:val="fr"/>
              </w:rPr>
              <w:t>Coûts indirects</w:t>
            </w:r>
          </w:p>
        </w:tc>
        <w:tc>
          <w:tcPr>
            <w:tcW w:w="471" w:type="pct"/>
          </w:tcPr>
          <w:p w:rsidR="003F078D" w:rsidRPr="00FA1378" w:rsidP="00CB5F7D" w14:paraId="28A494A6" w14:textId="77777777">
            <w:pPr>
              <w:rPr>
                <w:rFonts w:asciiTheme="majorHAnsi" w:hAnsiTheme="majorHAnsi"/>
              </w:rPr>
            </w:pPr>
          </w:p>
        </w:tc>
        <w:tc>
          <w:tcPr>
            <w:tcW w:w="847" w:type="pct"/>
          </w:tcPr>
          <w:p w:rsidR="003F078D" w:rsidRPr="00FA1378" w:rsidP="00CB5F7D" w14:paraId="4CE75B27" w14:textId="77777777">
            <w:pPr>
              <w:rPr>
                <w:rFonts w:asciiTheme="majorHAnsi" w:hAnsiTheme="majorHAnsi"/>
              </w:rPr>
            </w:pPr>
          </w:p>
        </w:tc>
        <w:tc>
          <w:tcPr>
            <w:tcW w:w="895" w:type="pct"/>
          </w:tcPr>
          <w:p w:rsidR="003F078D" w:rsidRPr="00FA1378" w:rsidP="00CB5F7D" w14:paraId="62A0BF82" w14:textId="77777777">
            <w:pPr>
              <w:rPr>
                <w:rFonts w:asciiTheme="majorHAnsi" w:hAnsiTheme="majorHAnsi"/>
              </w:rPr>
            </w:pPr>
          </w:p>
        </w:tc>
      </w:tr>
      <w:tr w14:paraId="2AC27E5A" w14:textId="77777777" w:rsidTr="00781C69">
        <w:tblPrEx>
          <w:tblW w:w="5000" w:type="pct"/>
          <w:tblLook w:val="04A0"/>
        </w:tblPrEx>
        <w:tc>
          <w:tcPr>
            <w:tcW w:w="2787" w:type="pct"/>
          </w:tcPr>
          <w:p w:rsidR="00B945B6" w:rsidP="00CB5F7D" w14:paraId="61884BA1" w14:textId="77777777">
            <w:pPr>
              <w:rPr>
                <w:rFonts w:asciiTheme="majorHAnsi" w:hAnsiTheme="majorHAnsi"/>
              </w:rPr>
            </w:pPr>
          </w:p>
        </w:tc>
        <w:tc>
          <w:tcPr>
            <w:tcW w:w="471" w:type="pct"/>
          </w:tcPr>
          <w:p w:rsidR="00B945B6" w:rsidRPr="00FA1378" w:rsidP="00CB5F7D" w14:paraId="44CA4C95" w14:textId="77777777">
            <w:pPr>
              <w:rPr>
                <w:rFonts w:asciiTheme="majorHAnsi" w:hAnsiTheme="majorHAnsi"/>
              </w:rPr>
            </w:pPr>
          </w:p>
        </w:tc>
        <w:tc>
          <w:tcPr>
            <w:tcW w:w="847" w:type="pct"/>
          </w:tcPr>
          <w:p w:rsidR="00B945B6" w:rsidRPr="00FA1378" w:rsidP="00CB5F7D" w14:paraId="1FE8DBF4" w14:textId="77777777">
            <w:pPr>
              <w:rPr>
                <w:rFonts w:asciiTheme="majorHAnsi" w:hAnsiTheme="majorHAnsi"/>
              </w:rPr>
            </w:pPr>
          </w:p>
        </w:tc>
        <w:tc>
          <w:tcPr>
            <w:tcW w:w="895" w:type="pct"/>
          </w:tcPr>
          <w:p w:rsidR="00B945B6" w:rsidRPr="00FA1378" w:rsidP="00CB5F7D" w14:paraId="434AE1BA" w14:textId="77777777">
            <w:pPr>
              <w:rPr>
                <w:rFonts w:asciiTheme="majorHAnsi" w:hAnsiTheme="majorHAnsi"/>
              </w:rPr>
            </w:pPr>
          </w:p>
        </w:tc>
      </w:tr>
      <w:tr w14:paraId="648080BA" w14:textId="77777777" w:rsidTr="00781C69">
        <w:tblPrEx>
          <w:tblW w:w="5000" w:type="pct"/>
          <w:tblLook w:val="04A0"/>
        </w:tblPrEx>
        <w:tc>
          <w:tcPr>
            <w:tcW w:w="2787" w:type="pct"/>
          </w:tcPr>
          <w:p w:rsidR="003F078D" w:rsidRPr="00860713" w:rsidP="00CB5F7D" w14:paraId="02761E1D" w14:textId="77777777">
            <w:pPr>
              <w:bidi w:val="0"/>
              <w:jc w:val="right"/>
              <w:rPr>
                <w:rFonts w:asciiTheme="majorHAnsi" w:hAnsiTheme="majorHAnsi"/>
                <w:b/>
              </w:rPr>
            </w:pPr>
            <w:r w:rsidRPr="00860713">
              <w:rPr>
                <w:rFonts w:asciiTheme="majorHAnsi" w:hAnsiTheme="majorHAnsi"/>
                <w:b/>
                <w:rtl w:val="0"/>
                <w:lang w:val="fr"/>
              </w:rPr>
              <w:t>Total</w:t>
            </w:r>
          </w:p>
        </w:tc>
        <w:tc>
          <w:tcPr>
            <w:tcW w:w="471" w:type="pct"/>
          </w:tcPr>
          <w:p w:rsidR="003F078D" w:rsidRPr="00FA1378" w:rsidP="00CB5F7D" w14:paraId="086DE2BB" w14:textId="77777777">
            <w:pPr>
              <w:rPr>
                <w:rFonts w:asciiTheme="majorHAnsi" w:hAnsiTheme="majorHAnsi"/>
              </w:rPr>
            </w:pPr>
          </w:p>
        </w:tc>
        <w:tc>
          <w:tcPr>
            <w:tcW w:w="847" w:type="pct"/>
          </w:tcPr>
          <w:p w:rsidR="003F078D" w:rsidRPr="00FA1378" w:rsidP="00CB5F7D" w14:paraId="7A9FC925" w14:textId="77777777">
            <w:pPr>
              <w:rPr>
                <w:rFonts w:asciiTheme="majorHAnsi" w:hAnsiTheme="majorHAnsi"/>
              </w:rPr>
            </w:pPr>
          </w:p>
        </w:tc>
        <w:tc>
          <w:tcPr>
            <w:tcW w:w="895" w:type="pct"/>
          </w:tcPr>
          <w:p w:rsidR="003F078D" w:rsidRPr="00FA1378" w:rsidP="00CB5F7D" w14:paraId="5EF47D87" w14:textId="77777777">
            <w:pPr>
              <w:rPr>
                <w:rFonts w:asciiTheme="majorHAnsi" w:hAnsiTheme="majorHAnsi"/>
              </w:rPr>
            </w:pPr>
          </w:p>
        </w:tc>
      </w:tr>
    </w:tbl>
    <w:p w:rsidR="003F078D" w:rsidRPr="000271BE" w:rsidP="00513423" w14:paraId="30D753DC" w14:textId="784EBEC8">
      <w:pPr>
        <w:spacing w:before="160" w:after="160" w:line="276" w:lineRule="auto"/>
        <w:rPr>
          <w:rFonts w:eastAsia="Calibri" w:cs="Arial"/>
          <w:szCs w:val="24"/>
        </w:rPr>
      </w:pPr>
    </w:p>
    <w:sectPr w:rsidSect="00A2540C">
      <w:headerReference w:type="default" r:id="rId7"/>
      <w:foot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870CD5" w:rsidP="001B788F" w14:paraId="26FC32A0" w14:textId="77777777">
        <w:pPr>
          <w:pStyle w:val="Footer"/>
          <w:jc w:val="right"/>
        </w:pPr>
        <w:r>
          <w:fldChar w:fldCharType="begin"/>
        </w:r>
        <w:r>
          <w:instrText xml:space="preserve"> PAGE   \* MERGEFORMAT </w:instrText>
        </w:r>
        <w:r>
          <w:fldChar w:fldCharType="separate"/>
        </w:r>
        <w:r w:rsidR="00A2540C">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870CD5" w14:paraId="5B5E00D5" w14:textId="77777777">
        <w:pPr>
          <w:pStyle w:val="Footer"/>
          <w:jc w:val="right"/>
        </w:pPr>
        <w:r>
          <w:fldChar w:fldCharType="begin"/>
        </w:r>
        <w:r>
          <w:instrText xml:space="preserve"> PAGE   \* MERGEFORMAT </w:instrText>
        </w:r>
        <w:r>
          <w:fldChar w:fldCharType="separate"/>
        </w:r>
        <w:r w:rsidR="00A2540C">
          <w:rPr>
            <w:noProof/>
          </w:rPr>
          <w:t>1</w:t>
        </w:r>
        <w:r>
          <w:rPr>
            <w:noProof/>
          </w:rPr>
          <w:fldChar w:fldCharType="end"/>
        </w:r>
      </w:p>
    </w:sdtContent>
  </w:sdt>
  <w:p w:rsidR="00513423" w:rsidRPr="00B543D1" w:rsidP="00513423" w14:paraId="47BF4A49" w14:textId="77777777">
    <w:pPr>
      <w:pStyle w:val="NormalWeb"/>
      <w:bidi w:val="0"/>
      <w:spacing w:before="0" w:beforeAutospacing="0" w:after="0" w:afterAutospacing="0"/>
      <w:rPr>
        <w:rFonts w:ascii="Arial" w:hAnsi="Arial" w:cs="Arial"/>
        <w:sz w:val="16"/>
        <w:szCs w:val="16"/>
      </w:rPr>
    </w:pPr>
    <w:r w:rsidRPr="00B543D1">
      <w:rPr>
        <w:rFonts w:ascii="Arial" w:hAnsi="Arial" w:cs="Arial"/>
        <w:i/>
        <w:iCs/>
        <w:color w:val="000000"/>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B543D1">
        <w:rPr>
          <w:rStyle w:val="Hyperlink"/>
          <w:rFonts w:ascii="Arial" w:hAnsi="Arial" w:eastAsiaTheme="majorEastAsia" w:cs="Arial"/>
          <w:i/>
          <w:iCs/>
          <w:color w:val="1155CC"/>
          <w:sz w:val="16"/>
          <w:szCs w:val="16"/>
          <w:rtl w:val="0"/>
          <w:lang w:val="fr"/>
        </w:rPr>
        <w:t>www.kmtraining.org</w:t>
      </w:r>
    </w:hyperlink>
    <w:r w:rsidRPr="00B543D1">
      <w:rPr>
        <w:rFonts w:ascii="Arial" w:hAnsi="Arial" w:cs="Arial"/>
        <w:i/>
        <w:iCs/>
        <w:color w:val="000000"/>
        <w:sz w:val="16"/>
        <w:szCs w:val="16"/>
        <w:rtl w:val="0"/>
        <w:lang w:val="fr"/>
      </w:rPr>
      <w:t>.</w:t>
    </w:r>
  </w:p>
  <w:p w:rsidR="00870CD5" w:rsidRPr="00092279" w:rsidP="00513423" w14:paraId="4052D840" w14:textId="52A2B9D0">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CD5" w14:paraId="27192AFE"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CD5" w14:paraId="05CCACB4"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500736"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0E131F46"/>
    <w:multiLevelType w:val="hybridMultilevel"/>
    <w:tmpl w:val="F2985D60"/>
    <w:lvl w:ilvl="0">
      <w:start w:val="1"/>
      <w:numFmt w:val="bullet"/>
      <w:lvlText w:val=""/>
      <w:lvlJc w:val="left"/>
      <w:pPr>
        <w:ind w:left="72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4">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863A3F"/>
    <w:multiLevelType w:val="hybridMultilevel"/>
    <w:tmpl w:val="589CD4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D995FD7"/>
    <w:multiLevelType w:val="hybridMultilevel"/>
    <w:tmpl w:val="1DB882E4"/>
    <w:lvl w:ilvl="0">
      <w:start w:val="1"/>
      <w:numFmt w:val="bullet"/>
      <w:lvlText w:val=""/>
      <w:lvlJc w:val="left"/>
      <w:pPr>
        <w:ind w:left="44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14">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EAA10B8"/>
    <w:multiLevelType w:val="multilevel"/>
    <w:tmpl w:val="41D604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FFC489C"/>
    <w:multiLevelType w:val="multilevel"/>
    <w:tmpl w:val="BBAC4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7"/>
  </w:num>
  <w:num w:numId="4">
    <w:abstractNumId w:val="16"/>
  </w:num>
  <w:num w:numId="5">
    <w:abstractNumId w:val="2"/>
  </w:num>
  <w:num w:numId="6">
    <w:abstractNumId w:val="6"/>
  </w:num>
  <w:num w:numId="7">
    <w:abstractNumId w:val="5"/>
  </w:num>
  <w:num w:numId="8">
    <w:abstractNumId w:val="12"/>
  </w:num>
  <w:num w:numId="9">
    <w:abstractNumId w:val="18"/>
  </w:num>
  <w:num w:numId="10">
    <w:abstractNumId w:val="10"/>
  </w:num>
  <w:num w:numId="11">
    <w:abstractNumId w:val="4"/>
  </w:num>
  <w:num w:numId="12">
    <w:abstractNumId w:val="17"/>
  </w:num>
  <w:num w:numId="13">
    <w:abstractNumId w:val="20"/>
  </w:num>
  <w:num w:numId="14">
    <w:abstractNumId w:val="9"/>
  </w:num>
  <w:num w:numId="15">
    <w:abstractNumId w:val="19"/>
  </w:num>
  <w:num w:numId="16">
    <w:abstractNumId w:val="14"/>
  </w:num>
  <w:num w:numId="17">
    <w:abstractNumId w:val="15"/>
  </w:num>
  <w:num w:numId="18">
    <w:abstractNumId w:val="11"/>
  </w:num>
  <w:num w:numId="19">
    <w:abstractNumId w:val="22"/>
  </w:num>
  <w:num w:numId="20">
    <w:abstractNumId w:val="13"/>
  </w:num>
  <w:num w:numId="21">
    <w:abstractNumId w:val="2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224C6"/>
    <w:rsid w:val="000271BE"/>
    <w:rsid w:val="0003139E"/>
    <w:rsid w:val="00092279"/>
    <w:rsid w:val="000B0A08"/>
    <w:rsid w:val="000D20B9"/>
    <w:rsid w:val="000F0507"/>
    <w:rsid w:val="000F7AA9"/>
    <w:rsid w:val="00100974"/>
    <w:rsid w:val="00113F9A"/>
    <w:rsid w:val="001158C0"/>
    <w:rsid w:val="00181E13"/>
    <w:rsid w:val="001A5A1F"/>
    <w:rsid w:val="001A7791"/>
    <w:rsid w:val="001B2F5B"/>
    <w:rsid w:val="001B788F"/>
    <w:rsid w:val="001C0DA3"/>
    <w:rsid w:val="001C281B"/>
    <w:rsid w:val="001E3DC5"/>
    <w:rsid w:val="00200663"/>
    <w:rsid w:val="00263913"/>
    <w:rsid w:val="00263CEC"/>
    <w:rsid w:val="002668EB"/>
    <w:rsid w:val="002816F6"/>
    <w:rsid w:val="002B740E"/>
    <w:rsid w:val="002D3A6B"/>
    <w:rsid w:val="003121B9"/>
    <w:rsid w:val="00332EA5"/>
    <w:rsid w:val="00380514"/>
    <w:rsid w:val="00381D5A"/>
    <w:rsid w:val="0039006F"/>
    <w:rsid w:val="003B3BCF"/>
    <w:rsid w:val="003D39F1"/>
    <w:rsid w:val="003D5926"/>
    <w:rsid w:val="003D75BB"/>
    <w:rsid w:val="003F078D"/>
    <w:rsid w:val="004640D7"/>
    <w:rsid w:val="004E2945"/>
    <w:rsid w:val="004F118D"/>
    <w:rsid w:val="005043F0"/>
    <w:rsid w:val="0051020B"/>
    <w:rsid w:val="005108A3"/>
    <w:rsid w:val="00513423"/>
    <w:rsid w:val="00547D6D"/>
    <w:rsid w:val="0055553D"/>
    <w:rsid w:val="005662E5"/>
    <w:rsid w:val="00574911"/>
    <w:rsid w:val="00587195"/>
    <w:rsid w:val="005A3317"/>
    <w:rsid w:val="005F084D"/>
    <w:rsid w:val="00626470"/>
    <w:rsid w:val="00664C67"/>
    <w:rsid w:val="00681FE7"/>
    <w:rsid w:val="006C033B"/>
    <w:rsid w:val="006E774A"/>
    <w:rsid w:val="007516E2"/>
    <w:rsid w:val="00781C69"/>
    <w:rsid w:val="007E6B69"/>
    <w:rsid w:val="0080107B"/>
    <w:rsid w:val="008465A5"/>
    <w:rsid w:val="00860713"/>
    <w:rsid w:val="00870CD5"/>
    <w:rsid w:val="00870FBA"/>
    <w:rsid w:val="008A7F65"/>
    <w:rsid w:val="0092772B"/>
    <w:rsid w:val="00960EEE"/>
    <w:rsid w:val="00961FF2"/>
    <w:rsid w:val="009763B6"/>
    <w:rsid w:val="00992E76"/>
    <w:rsid w:val="009B133F"/>
    <w:rsid w:val="009C2A59"/>
    <w:rsid w:val="00A02721"/>
    <w:rsid w:val="00A2540C"/>
    <w:rsid w:val="00A43205"/>
    <w:rsid w:val="00A52CDD"/>
    <w:rsid w:val="00AA68EA"/>
    <w:rsid w:val="00AD26EC"/>
    <w:rsid w:val="00B34932"/>
    <w:rsid w:val="00B43614"/>
    <w:rsid w:val="00B4571C"/>
    <w:rsid w:val="00B543D1"/>
    <w:rsid w:val="00B84453"/>
    <w:rsid w:val="00B945B6"/>
    <w:rsid w:val="00BC4F0E"/>
    <w:rsid w:val="00C34E09"/>
    <w:rsid w:val="00C45CE1"/>
    <w:rsid w:val="00C6377D"/>
    <w:rsid w:val="00CB5F7D"/>
    <w:rsid w:val="00CC2C5D"/>
    <w:rsid w:val="00CE79F3"/>
    <w:rsid w:val="00D0155D"/>
    <w:rsid w:val="00D05E0A"/>
    <w:rsid w:val="00D1104F"/>
    <w:rsid w:val="00D372B3"/>
    <w:rsid w:val="00D823B4"/>
    <w:rsid w:val="00D904BF"/>
    <w:rsid w:val="00DE03DF"/>
    <w:rsid w:val="00DF6947"/>
    <w:rsid w:val="00E546E0"/>
    <w:rsid w:val="00E57012"/>
    <w:rsid w:val="00E611F8"/>
    <w:rsid w:val="00E659FF"/>
    <w:rsid w:val="00E66B69"/>
    <w:rsid w:val="00E83340"/>
    <w:rsid w:val="00E966B8"/>
    <w:rsid w:val="00F05455"/>
    <w:rsid w:val="00F167F9"/>
    <w:rsid w:val="00F56995"/>
    <w:rsid w:val="00F9519D"/>
    <w:rsid w:val="00FA137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qFormat/>
    <w:rsid w:val="00F05455"/>
    <w:pPr>
      <w:spacing w:after="0" w:line="240" w:lineRule="auto"/>
      <w:ind w:left="720"/>
      <w:contextualSpacing/>
    </w:pPr>
    <w:rPr>
      <w:rFonts w:ascii="Times New Roman" w:eastAsia="Times New Roman" w:hAnsi="Times New Roman" w:cs="Times New Roman"/>
      <w:color w:val="000000"/>
      <w:szCs w:val="24"/>
      <w:lang w:eastAsia="en-US"/>
    </w:rPr>
  </w:style>
  <w:style w:type="character" w:styleId="CommentReference">
    <w:name w:val="annotation reference"/>
    <w:basedOn w:val="DefaultParagraphFont"/>
    <w:uiPriority w:val="99"/>
    <w:semiHidden/>
    <w:unhideWhenUsed/>
    <w:rsid w:val="00B4571C"/>
    <w:rPr>
      <w:sz w:val="16"/>
      <w:szCs w:val="16"/>
    </w:rPr>
  </w:style>
  <w:style w:type="paragraph" w:styleId="CommentText">
    <w:name w:val="annotation text"/>
    <w:basedOn w:val="Normal"/>
    <w:link w:val="CommentTextChar"/>
    <w:uiPriority w:val="99"/>
    <w:semiHidden/>
    <w:unhideWhenUsed/>
    <w:rsid w:val="00B4571C"/>
    <w:pPr>
      <w:spacing w:line="240" w:lineRule="auto"/>
    </w:pPr>
    <w:rPr>
      <w:sz w:val="20"/>
      <w:szCs w:val="20"/>
    </w:rPr>
  </w:style>
  <w:style w:type="character" w:customStyle="1" w:styleId="CommentTextChar">
    <w:name w:val="Comment Text Char"/>
    <w:basedOn w:val="DefaultParagraphFont"/>
    <w:link w:val="CommentText"/>
    <w:uiPriority w:val="99"/>
    <w:semiHidden/>
    <w:rsid w:val="00B4571C"/>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B4571C"/>
    <w:rPr>
      <w:b/>
      <w:bCs/>
    </w:rPr>
  </w:style>
  <w:style w:type="character" w:customStyle="1" w:styleId="CommentSubjectChar">
    <w:name w:val="Comment Subject Char"/>
    <w:basedOn w:val="CommentTextChar"/>
    <w:link w:val="CommentSubject"/>
    <w:uiPriority w:val="99"/>
    <w:semiHidden/>
    <w:rsid w:val="00B4571C"/>
    <w:rPr>
      <w:rFonts w:ascii="Gill Sans MT" w:hAnsi="Gill Sans MT"/>
      <w:b/>
      <w:bCs/>
      <w:color w:val="auto"/>
      <w:sz w:val="20"/>
      <w:szCs w:val="20"/>
    </w:rPr>
  </w:style>
  <w:style w:type="character" w:styleId="FollowedHyperlink">
    <w:name w:val="FollowedHyperlink"/>
    <w:basedOn w:val="DefaultParagraphFont"/>
    <w:uiPriority w:val="99"/>
    <w:semiHidden/>
    <w:unhideWhenUsed/>
    <w:rsid w:val="000224C6"/>
    <w:rPr>
      <w:color w:val="214C5E" w:themeColor="followedHyperlink"/>
      <w:u w:val="single"/>
    </w:rPr>
  </w:style>
  <w:style w:type="paragraph" w:styleId="NormalWeb">
    <w:name w:val="Normal (Web)"/>
    <w:basedOn w:val="Normal"/>
    <w:uiPriority w:val="99"/>
    <w:semiHidden/>
    <w:unhideWhenUsed/>
    <w:rsid w:val="00513423"/>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usaid.gov/sites/default/files/documents/1868/AID-1420-17-6-13-19FINAL.doc" TargetMode="External" /><Relationship Id="rId6" Type="http://schemas.openxmlformats.org/officeDocument/2006/relationships/hyperlink" Target="https://aoprals.state.gov/web920/per_diem.asp"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DC9D-639D-5F45-8E1D-7C24C91F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2017-11-13T03:24:00Z</dcterms:created>
  <dcterms:modified xsi:type="dcterms:W3CDTF">2021-07-13T21:12:00Z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