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976521" w14:paraId="3CD1D471" w14:textId="77777777">
      <w:pPr>
        <w:pStyle w:val="Heading2"/>
        <w:keepNext w:val="0"/>
        <w:keepLines w:val="0"/>
        <w:widowControl w:val="0"/>
        <w:bidi w:val="0"/>
        <w:spacing w:after="360"/>
        <w:rPr>
          <w:sz w:val="40"/>
          <w:szCs w:val="40"/>
        </w:rPr>
      </w:pPr>
      <w:r>
        <w:rPr>
          <w:sz w:val="40"/>
          <w:szCs w:val="40"/>
          <w:rtl w:val="0"/>
          <w:lang w:val="fr"/>
        </w:rPr>
        <w:t>Exercice :</w:t>
        <w:br/>
        <w:t>Qu'y a-t-il dans une stratégie de gestion des connaissances ? Un exemple</w:t>
      </w:r>
    </w:p>
    <w:p w:rsidR="00976521" w14:paraId="3CD1D472" w14:textId="77777777">
      <w:pPr>
        <w:widowControl w:val="0"/>
        <w:bidi w:val="0"/>
        <w:spacing w:before="160" w:after="160" w:line="276" w:lineRule="auto"/>
        <w:rPr>
          <w:b/>
          <w:sz w:val="28"/>
          <w:szCs w:val="28"/>
        </w:rPr>
      </w:pPr>
      <w:r>
        <w:rPr>
          <w:b/>
          <w:sz w:val="28"/>
          <w:szCs w:val="28"/>
          <w:rtl w:val="0"/>
          <w:lang w:val="fr"/>
        </w:rPr>
        <w:t>Objectifs</w:t>
      </w:r>
    </w:p>
    <w:p w:rsidR="00976521" w14:paraId="3CD1D473" w14:textId="77777777">
      <w:pPr>
        <w:widowControl w:val="0"/>
        <w:numPr>
          <w:ilvl w:val="0"/>
          <w:numId w:val="8"/>
        </w:numPr>
        <w:bidi w:val="0"/>
        <w:spacing w:after="0" w:line="276" w:lineRule="auto"/>
      </w:pPr>
      <w:r>
        <w:rPr>
          <w:rtl w:val="0"/>
          <w:lang w:val="fr"/>
        </w:rPr>
        <w:t xml:space="preserve">Lire des résumés de haut niveau de stratégies de gestion des connaissances élaborées par d'autres agences de santé et de développement mondiales. </w:t>
      </w:r>
    </w:p>
    <w:p w:rsidR="00976521" w14:paraId="3CD1D474" w14:textId="77777777">
      <w:pPr>
        <w:widowControl w:val="0"/>
        <w:numPr>
          <w:ilvl w:val="0"/>
          <w:numId w:val="8"/>
        </w:numPr>
        <w:bidi w:val="0"/>
        <w:spacing w:after="0" w:line="276" w:lineRule="auto"/>
      </w:pPr>
      <w:r>
        <w:rPr>
          <w:rtl w:val="0"/>
          <w:lang w:val="fr"/>
        </w:rPr>
        <w:t>Comprendre les éléments clés d'une stratégie de gestion des connaissances.</w:t>
      </w:r>
    </w:p>
    <w:p w:rsidR="00976521" w14:paraId="3CD1D475" w14:textId="77777777">
      <w:pPr>
        <w:widowControl w:val="0"/>
        <w:numPr>
          <w:ilvl w:val="0"/>
          <w:numId w:val="8"/>
        </w:numPr>
        <w:bidi w:val="0"/>
        <w:spacing w:after="0" w:line="276" w:lineRule="auto"/>
      </w:pPr>
      <w:r>
        <w:rPr>
          <w:rtl w:val="0"/>
          <w:lang w:val="fr"/>
        </w:rPr>
        <w:t xml:space="preserve">Discuter de manière critique des éléments d'une stratégie de gestion des connaissances qui pourraient être utiles pour leur programme de santé. </w:t>
      </w:r>
    </w:p>
    <w:p w:rsidR="00976521" w14:paraId="3CD1D476" w14:textId="77777777">
      <w:pPr>
        <w:bidi w:val="0"/>
        <w:spacing w:before="160" w:after="160" w:line="276" w:lineRule="auto"/>
        <w:rPr>
          <w:b/>
          <w:sz w:val="28"/>
          <w:szCs w:val="28"/>
        </w:rPr>
      </w:pPr>
      <w:r>
        <w:rPr>
          <w:b/>
          <w:sz w:val="28"/>
          <w:szCs w:val="28"/>
          <w:rtl w:val="0"/>
          <w:lang w:val="fr"/>
        </w:rPr>
        <w:t>Vue d'ensemble</w:t>
      </w:r>
    </w:p>
    <w:p w:rsidR="00976521" w14:paraId="3CD1D477" w14:textId="77777777">
      <w:pPr>
        <w:widowControl w:val="0"/>
        <w:bidi w:val="0"/>
        <w:spacing w:after="0" w:line="276" w:lineRule="auto"/>
      </w:pPr>
      <w:r>
        <w:rPr>
          <w:rtl w:val="0"/>
          <w:lang w:val="fr"/>
        </w:rPr>
        <w:t xml:space="preserve">L'objectif de cette activité est de fournir aux participants un exemple concret de stratégie de gestion des connaissances (GC) afin qu'ils puissent commencer à réfléchir à ce qui est lié à leur contexte. Les participants examineront et réfléchiront brièvement aux aspects de la stratégie qui pourraient s'appliquer à leur projet de santé et en discuteront. Cela aidera les participants à commencer à choisir les éléments d'une stratégie de GC qu'ils pourraient trouver utiles d'inclure dans leur propre stratégie de GC. </w:t>
      </w:r>
    </w:p>
    <w:p w:rsidR="00976521" w14:paraId="3CD1D478" w14:textId="77777777">
      <w:pPr>
        <w:bidi w:val="0"/>
        <w:spacing w:before="160" w:after="160" w:line="276" w:lineRule="auto"/>
        <w:rPr>
          <w:b/>
          <w:sz w:val="28"/>
          <w:szCs w:val="28"/>
        </w:rPr>
      </w:pPr>
      <w:r>
        <w:rPr>
          <w:b/>
          <w:sz w:val="28"/>
          <w:szCs w:val="28"/>
          <w:rtl w:val="0"/>
          <w:lang w:val="fr"/>
        </w:rPr>
        <w:t>Temps</w:t>
      </w:r>
    </w:p>
    <w:p w:rsidR="00976521" w14:paraId="3CD1D479" w14:textId="77777777">
      <w:pPr>
        <w:widowControl w:val="0"/>
        <w:bidi w:val="0"/>
        <w:spacing w:after="0" w:line="276" w:lineRule="auto"/>
      </w:pPr>
      <w:r>
        <w:rPr>
          <w:rtl w:val="0"/>
          <w:lang w:val="fr"/>
        </w:rPr>
        <w:t>Durée : 40 minutes</w:t>
      </w:r>
    </w:p>
    <w:p w:rsidR="00976521" w14:paraId="3CD1D47A" w14:textId="77777777">
      <w:pPr>
        <w:bidi w:val="0"/>
        <w:spacing w:before="160" w:after="160" w:line="276" w:lineRule="auto"/>
        <w:rPr>
          <w:b/>
          <w:sz w:val="28"/>
          <w:szCs w:val="28"/>
        </w:rPr>
      </w:pPr>
      <w:r>
        <w:rPr>
          <w:b/>
          <w:sz w:val="28"/>
          <w:szCs w:val="28"/>
          <w:rtl w:val="0"/>
          <w:lang w:val="fr"/>
        </w:rPr>
        <w:t>Préparation préalable</w:t>
      </w:r>
    </w:p>
    <w:p w:rsidR="00976521" w14:paraId="3CD1D47B" w14:textId="77777777">
      <w:pPr>
        <w:widowControl w:val="0"/>
        <w:numPr>
          <w:ilvl w:val="0"/>
          <w:numId w:val="1"/>
        </w:numPr>
        <w:bidi w:val="0"/>
        <w:spacing w:after="0" w:line="276" w:lineRule="auto"/>
      </w:pPr>
      <w:r>
        <w:rPr>
          <w:rtl w:val="0"/>
          <w:lang w:val="fr"/>
        </w:rPr>
        <w:t>Imprimer des copies du résumé de la stratégie de GC.</w:t>
      </w:r>
    </w:p>
    <w:p w:rsidR="00976521" w14:paraId="3CD1D47C" w14:textId="77777777">
      <w:pPr>
        <w:widowControl w:val="0"/>
        <w:numPr>
          <w:ilvl w:val="0"/>
          <w:numId w:val="1"/>
        </w:numPr>
        <w:bidi w:val="0"/>
        <w:spacing w:after="0" w:line="276" w:lineRule="auto"/>
      </w:pPr>
      <w:r>
        <w:rPr>
          <w:rtl w:val="0"/>
          <w:lang w:val="fr"/>
        </w:rPr>
        <w:t>Tableau de conférence avec des questions de discussion (fournies ci-dessous)</w:t>
      </w:r>
    </w:p>
    <w:p w:rsidR="00976521" w14:paraId="3CD1D47D" w14:textId="77777777">
      <w:pPr>
        <w:bidi w:val="0"/>
        <w:spacing w:before="160" w:after="160" w:line="276" w:lineRule="auto"/>
        <w:rPr>
          <w:b/>
          <w:sz w:val="28"/>
          <w:szCs w:val="28"/>
        </w:rPr>
      </w:pPr>
      <w:r>
        <w:rPr>
          <w:b/>
          <w:sz w:val="28"/>
          <w:szCs w:val="28"/>
          <w:rtl w:val="0"/>
          <w:lang w:val="fr"/>
        </w:rPr>
        <w:t>Mettre en œuvre l'activité.</w:t>
      </w:r>
    </w:p>
    <w:p w:rsidR="00976521" w14:paraId="3CD1D47E" w14:textId="77777777">
      <w:pPr>
        <w:widowControl w:val="0"/>
        <w:numPr>
          <w:ilvl w:val="0"/>
          <w:numId w:val="3"/>
        </w:numPr>
        <w:bidi w:val="0"/>
        <w:spacing w:after="0" w:line="276" w:lineRule="auto"/>
        <w:ind w:hanging="360"/>
      </w:pPr>
      <w:r>
        <w:rPr>
          <w:rtl w:val="0"/>
          <w:lang w:val="fr"/>
        </w:rPr>
        <w:t xml:space="preserve">L'animateur aura besoin de </w:t>
      </w:r>
      <w:r>
        <w:rPr>
          <w:b/>
          <w:rtl w:val="0"/>
          <w:lang w:val="fr"/>
        </w:rPr>
        <w:t>5 minutes</w:t>
      </w:r>
      <w:r>
        <w:rPr>
          <w:rtl w:val="0"/>
          <w:lang w:val="fr"/>
        </w:rPr>
        <w:t xml:space="preserve"> avant l'activité pour expliquer le but de l'activité et son déroulement.</w:t>
      </w:r>
    </w:p>
    <w:p w:rsidR="00976521" w14:paraId="3CD1D47F" w14:textId="77777777">
      <w:pPr>
        <w:widowControl w:val="0"/>
        <w:numPr>
          <w:ilvl w:val="0"/>
          <w:numId w:val="3"/>
        </w:numPr>
        <w:bidi w:val="0"/>
        <w:spacing w:after="0" w:line="276" w:lineRule="auto"/>
        <w:ind w:hanging="360"/>
      </w:pPr>
      <w:r>
        <w:rPr>
          <w:rtl w:val="0"/>
          <w:lang w:val="fr"/>
        </w:rPr>
        <w:t xml:space="preserve">L'animateur distribue le résumé de la stratégie de GC aux participants pour qu'ils le lisent et réfléchissent aux questions de discussion pendant </w:t>
      </w:r>
      <w:r>
        <w:rPr>
          <w:b/>
          <w:rtl w:val="0"/>
          <w:lang w:val="fr"/>
        </w:rPr>
        <w:t>20 minutes</w:t>
      </w:r>
      <w:r>
        <w:rPr>
          <w:rtl w:val="0"/>
          <w:lang w:val="fr"/>
        </w:rPr>
        <w:t xml:space="preserve"> (avec un groupe plus important de plus de huit participants, divisez-les en petits groupes et demandez-leur de lire et de discuter ensemble).</w:t>
      </w:r>
    </w:p>
    <w:p w:rsidR="00976521" w14:paraId="3CD1D480" w14:textId="77777777">
      <w:pPr>
        <w:widowControl w:val="0"/>
        <w:numPr>
          <w:ilvl w:val="0"/>
          <w:numId w:val="3"/>
        </w:numPr>
        <w:bidi w:val="0"/>
        <w:spacing w:after="0" w:line="276" w:lineRule="auto"/>
        <w:ind w:hanging="360"/>
      </w:pPr>
      <w:r>
        <w:rPr>
          <w:rtl w:val="0"/>
          <w:lang w:val="fr"/>
        </w:rPr>
        <w:t xml:space="preserve">Rapport des participants </w:t>
      </w:r>
    </w:p>
    <w:p w:rsidR="00976521" w14:paraId="3CD1D481" w14:textId="77777777">
      <w:pPr>
        <w:bidi w:val="0"/>
        <w:spacing w:before="160" w:after="160" w:line="276" w:lineRule="auto"/>
        <w:rPr>
          <w:b/>
          <w:sz w:val="28"/>
          <w:szCs w:val="28"/>
        </w:rPr>
      </w:pPr>
      <w:r>
        <w:rPr>
          <w:b/>
          <w:sz w:val="28"/>
          <w:szCs w:val="28"/>
          <w:rtl w:val="0"/>
          <w:lang w:val="fr"/>
        </w:rPr>
        <w:t>Étapes de l'activité</w:t>
      </w:r>
    </w:p>
    <w:p w:rsidR="00976521" w14:paraId="3CD1D482" w14:textId="77777777">
      <w:pPr>
        <w:widowControl w:val="0"/>
        <w:bidi w:val="0"/>
        <w:spacing w:after="0" w:line="276" w:lineRule="auto"/>
      </w:pPr>
      <w:r>
        <w:rPr>
          <w:rtl w:val="0"/>
          <w:lang w:val="fr"/>
        </w:rPr>
        <w:t>Demandez aux participants de réfléchir à ces questions en lisant les exemples de cas :</w:t>
      </w:r>
    </w:p>
    <w:p w:rsidR="00976521" w14:paraId="3CD1D483" w14:textId="77777777">
      <w:pPr>
        <w:widowControl w:val="0"/>
        <w:numPr>
          <w:ilvl w:val="0"/>
          <w:numId w:val="4"/>
        </w:numPr>
        <w:bidi w:val="0"/>
        <w:spacing w:after="0" w:line="276" w:lineRule="auto"/>
      </w:pPr>
      <w:r>
        <w:rPr>
          <w:rtl w:val="0"/>
          <w:lang w:val="fr"/>
        </w:rPr>
        <w:t>Qu'est-ce qui vous a plu dans cette stratégie ?</w:t>
      </w:r>
    </w:p>
    <w:p w:rsidR="00976521" w14:paraId="3CD1D484" w14:textId="77777777">
      <w:pPr>
        <w:widowControl w:val="0"/>
        <w:numPr>
          <w:ilvl w:val="0"/>
          <w:numId w:val="4"/>
        </w:numPr>
        <w:bidi w:val="0"/>
        <w:spacing w:after="0" w:line="276" w:lineRule="auto"/>
      </w:pPr>
      <w:r>
        <w:rPr>
          <w:rtl w:val="0"/>
          <w:lang w:val="fr"/>
        </w:rPr>
        <w:t>Qu'est-ce qui serait utile à votre programme de santé ?</w:t>
      </w:r>
    </w:p>
    <w:p w:rsidR="00976521" w14:paraId="3CD1D485" w14:textId="77777777">
      <w:pPr>
        <w:widowControl w:val="0"/>
        <w:numPr>
          <w:ilvl w:val="0"/>
          <w:numId w:val="4"/>
        </w:numPr>
        <w:bidi w:val="0"/>
        <w:spacing w:after="0" w:line="276" w:lineRule="auto"/>
      </w:pPr>
      <w:r>
        <w:rPr>
          <w:rtl w:val="0"/>
          <w:lang w:val="fr"/>
        </w:rPr>
        <w:t>Qu'est-ce que vous n'avez pas trouvé utile ou pertinent pour votre programme de santé ?</w:t>
      </w:r>
    </w:p>
    <w:p w:rsidR="00976521" w14:paraId="3CD1D486" w14:textId="77777777">
      <w:pPr>
        <w:widowControl w:val="0"/>
        <w:numPr>
          <w:ilvl w:val="0"/>
          <w:numId w:val="4"/>
        </w:numPr>
        <w:bidi w:val="0"/>
        <w:spacing w:after="0" w:line="276" w:lineRule="auto"/>
      </w:pPr>
      <w:r>
        <w:rPr>
          <w:rtl w:val="0"/>
          <w:lang w:val="fr"/>
        </w:rPr>
        <w:t>Qu'est-ce qui était difficile à comprendre ? Où avez-vous eu le plus de questions ?</w:t>
      </w:r>
    </w:p>
    <w:p w:rsidR="00976521" w14:paraId="3CD1D487" w14:textId="77777777">
      <w:pPr>
        <w:widowControl w:val="0"/>
        <w:spacing w:after="0" w:line="276" w:lineRule="auto"/>
      </w:pPr>
    </w:p>
    <w:p w:rsidR="00976521" w14:paraId="3CD1D488" w14:textId="77777777">
      <w:pPr>
        <w:widowControl w:val="0"/>
        <w:bidi w:val="0"/>
        <w:spacing w:after="0" w:line="276" w:lineRule="auto"/>
      </w:pPr>
      <w:r>
        <w:rPr>
          <w:rtl w:val="0"/>
          <w:lang w:val="fr"/>
        </w:rPr>
        <w:t xml:space="preserve">Demandez aux participants de faire leur rapport. </w:t>
      </w:r>
    </w:p>
    <w:p w:rsidR="00976521" w14:paraId="3CD1D489" w14:textId="77777777">
      <w:pPr>
        <w:bidi w:val="0"/>
        <w:spacing w:before="160" w:after="160" w:line="276" w:lineRule="auto"/>
        <w:rPr>
          <w:b/>
          <w:sz w:val="28"/>
          <w:szCs w:val="28"/>
        </w:rPr>
      </w:pPr>
      <w:r>
        <w:rPr>
          <w:b/>
          <w:sz w:val="28"/>
          <w:szCs w:val="28"/>
          <w:rtl w:val="0"/>
          <w:lang w:val="fr"/>
        </w:rPr>
        <w:t>Exemples de cas</w:t>
      </w:r>
    </w:p>
    <w:p w:rsidR="00976521" w14:paraId="3CD1D48A" w14:textId="77777777">
      <w:pPr>
        <w:bidi w:val="0"/>
        <w:spacing w:after="0" w:line="240" w:lineRule="auto"/>
      </w:pPr>
      <w:r>
        <w:rPr>
          <w:rtl w:val="0"/>
          <w:lang w:val="fr"/>
        </w:rPr>
        <w:t>Alors que les grandes organisations (</w:t>
      </w:r>
      <w:hyperlink r:id="rId4" w:history="1">
        <w:r>
          <w:rPr>
            <w:color w:val="731C3F"/>
            <w:u w:val="single"/>
            <w:rtl w:val="0"/>
            <w:lang w:val="fr"/>
          </w:rPr>
          <w:t>OMS</w:t>
        </w:r>
      </w:hyperlink>
      <w:r>
        <w:rPr>
          <w:rtl w:val="0"/>
          <w:lang w:val="fr"/>
        </w:rPr>
        <w:t xml:space="preserve"> et </w:t>
      </w:r>
      <w:hyperlink r:id="rId5" w:history="1">
        <w:r>
          <w:rPr>
            <w:color w:val="731C3F"/>
            <w:u w:val="single"/>
            <w:rtl w:val="0"/>
            <w:lang w:val="fr"/>
          </w:rPr>
          <w:t>PNUD</w:t>
        </w:r>
      </w:hyperlink>
      <w:r>
        <w:rPr>
          <w:rtl w:val="0"/>
          <w:lang w:val="fr"/>
        </w:rPr>
        <w:t xml:space="preserve">) et les </w:t>
      </w:r>
      <w:r>
        <w:rPr>
          <w:sz w:val="22"/>
          <w:szCs w:val="22"/>
          <w:rtl w:val="0"/>
          <w:lang w:val="fr"/>
        </w:rPr>
        <w:t xml:space="preserve">organisations </w:t>
      </w:r>
      <w:r>
        <w:rPr>
          <w:color w:val="731C3F"/>
          <w:sz w:val="22"/>
          <w:szCs w:val="22"/>
          <w:u w:val="single"/>
          <w:rtl w:val="0"/>
          <w:lang w:val="fr"/>
        </w:rPr>
        <w:t>de taille moyenne (ECDPM,</w:t>
      </w:r>
      <w:r>
        <w:rPr>
          <w:sz w:val="22"/>
          <w:szCs w:val="22"/>
          <w:rtl w:val="0"/>
          <w:lang w:val="fr"/>
        </w:rPr>
        <w:t xml:space="preserve"> </w:t>
      </w:r>
      <w:r>
        <w:rPr>
          <w:color w:val="731C3F"/>
          <w:sz w:val="22"/>
          <w:szCs w:val="22"/>
          <w:u w:val="single"/>
          <w:rtl w:val="0"/>
          <w:lang w:val="fr"/>
        </w:rPr>
        <w:t>CGLU)</w:t>
      </w:r>
      <w:r>
        <w:rPr>
          <w:sz w:val="22"/>
          <w:szCs w:val="22"/>
          <w:rtl w:val="0"/>
          <w:lang w:val="fr"/>
        </w:rPr>
        <w:t xml:space="preserve"> ont des stratégies de GC, il y a relativement peu de stratégies accessibles au public développées au niveau des projets. Un projet de nutrition appelé </w:t>
      </w:r>
      <w:hyperlink r:id="rId6" w:history="1">
        <w:r>
          <w:rPr>
            <w:color w:val="731C3F"/>
            <w:sz w:val="22"/>
            <w:szCs w:val="22"/>
            <w:u w:val="single"/>
            <w:rtl w:val="0"/>
            <w:lang w:val="fr"/>
          </w:rPr>
          <w:t>SHOUHARDO II</w:t>
        </w:r>
      </w:hyperlink>
      <w:r>
        <w:rPr>
          <w:sz w:val="22"/>
          <w:szCs w:val="22"/>
          <w:rtl w:val="0"/>
          <w:lang w:val="fr"/>
        </w:rPr>
        <w:t>, mené par CARE Bangladesh, est une exception. Les éléments clés de la stratégie de GC sont détaillés ci-dessous en fonction</w:t>
      </w:r>
      <w:r>
        <w:rPr>
          <w:rtl w:val="0"/>
          <w:lang w:val="fr"/>
        </w:rPr>
        <w:t xml:space="preserve"> des composantes d'une stratégie de GC. </w:t>
      </w:r>
    </w:p>
    <w:p w:rsidR="00976521" w14:paraId="3CD1D48B" w14:textId="77777777">
      <w:pPr>
        <w:spacing w:after="0" w:line="240" w:lineRule="auto"/>
      </w:pPr>
    </w:p>
    <w:p w:rsidR="00976521" w14:paraId="3CD1D48C" w14:textId="77777777">
      <w:pPr>
        <w:bidi w:val="0"/>
        <w:spacing w:after="0" w:line="240" w:lineRule="auto"/>
      </w:pPr>
      <w:r>
        <w:rPr>
          <w:i/>
          <w:rtl w:val="0"/>
          <w:lang w:val="fr"/>
        </w:rPr>
        <w:t xml:space="preserve">Note au formateur : </w:t>
      </w:r>
      <w:r>
        <w:rPr>
          <w:rtl w:val="0"/>
          <w:lang w:val="fr"/>
        </w:rPr>
        <w:t xml:space="preserve">Une alternative à l'examen de la GC de SHOUHARDO II est </w:t>
      </w:r>
      <w:hyperlink r:id="rId7" w:history="1">
        <w:r>
          <w:rPr>
            <w:color w:val="1155CC"/>
            <w:u w:val="single"/>
            <w:rtl w:val="0"/>
            <w:lang w:val="fr"/>
          </w:rPr>
          <w:t>le plan de GC des systèmes d'amélioration de l'accès aux produits et services pharmaceutiques (SIAPS)</w:t>
        </w:r>
      </w:hyperlink>
      <w:r>
        <w:rPr>
          <w:rtl w:val="0"/>
          <w:lang w:val="fr"/>
        </w:rPr>
        <w:t xml:space="preserve"> qui se lit comme une stratégie de GC.</w:t>
      </w:r>
    </w:p>
    <w:p w:rsidR="00976521" w14:paraId="3CD1D48D" w14:textId="77777777">
      <w:pPr>
        <w:spacing w:after="0" w:line="240" w:lineRule="auto"/>
      </w:pPr>
    </w:p>
    <w:p w:rsidR="00976521" w14:paraId="3CD1D48E" w14:textId="77777777">
      <w:pPr>
        <w:widowControl w:val="0"/>
        <w:bidi w:val="0"/>
        <w:spacing w:after="0" w:line="276" w:lineRule="auto"/>
        <w:rPr>
          <w:b/>
        </w:rPr>
      </w:pPr>
      <w:r>
        <w:rPr>
          <w:b/>
          <w:rtl w:val="0"/>
          <w:lang w:val="fr"/>
        </w:rPr>
        <w:t>Stratégie de gestion des connaissances du programme SHOUHARDO II</w:t>
      </w:r>
    </w:p>
    <w:p w:rsidR="00976521" w14:paraId="3CD1D48F" w14:textId="77777777">
      <w:pPr>
        <w:widowControl w:val="0"/>
        <w:bidi w:val="0"/>
        <w:spacing w:after="0" w:line="276" w:lineRule="auto"/>
        <w:rPr>
          <w:b/>
          <w:i/>
        </w:rPr>
      </w:pPr>
      <w:hyperlink r:id="rId6" w:history="1">
        <w:r w:rsidR="00C155C5">
          <w:rPr>
            <w:b/>
            <w:i/>
            <w:color w:val="731C3F"/>
            <w:u w:val="single"/>
            <w:rtl w:val="0"/>
            <w:lang w:val="fr"/>
          </w:rPr>
          <w:t>Projet de nutrition mené par CARE Bangladesh</w:t>
        </w:r>
      </w:hyperlink>
    </w:p>
    <w:p w:rsidR="00976521" w14:paraId="3CD1D490" w14:textId="77777777">
      <w:pPr>
        <w:widowControl w:val="0"/>
        <w:spacing w:after="0" w:line="276" w:lineRule="auto"/>
      </w:pPr>
    </w:p>
    <w:p w:rsidR="00976521" w14:paraId="3CD1D491" w14:textId="77777777">
      <w:pPr>
        <w:widowControl w:val="0"/>
        <w:bidi w:val="0"/>
        <w:spacing w:after="0" w:line="276" w:lineRule="auto"/>
      </w:pPr>
      <w:r>
        <w:rPr>
          <w:rtl w:val="0"/>
          <w:lang w:val="fr"/>
        </w:rPr>
        <w:t xml:space="preserve">Pour améliorer le travail du programme SHOUHARDO II, le personnel a identifié le besoin de mettre en place un cadre formel pour guider la capture efficace des connaissances, le partage des idées et l'utilisation des apprentissages clés. L'équipe a proposé un système cyclique dans lequel les connaissances sont d'abord générées, synthétisées et ensuite capturées. Les connaissances recueillies seraient ensuite partagées au sein du programme et utilisées pour adapter ou modifier l'approche de mise en œuvre. </w:t>
      </w:r>
    </w:p>
    <w:p w:rsidR="00976521" w14:paraId="3CD1D492" w14:textId="77777777">
      <w:pPr>
        <w:widowControl w:val="0"/>
        <w:spacing w:after="0" w:line="276" w:lineRule="auto"/>
      </w:pPr>
    </w:p>
    <w:p w:rsidR="00976521" w14:paraId="3CD1D493" w14:textId="77777777">
      <w:pPr>
        <w:widowControl w:val="0"/>
        <w:bidi w:val="0"/>
        <w:spacing w:after="0" w:line="276" w:lineRule="auto"/>
      </w:pPr>
      <w:r>
        <w:rPr>
          <w:rtl w:val="0"/>
          <w:lang w:val="fr"/>
        </w:rPr>
        <w:t xml:space="preserve">Ce cadre formel, appelé stratégie de gestion des connaissances de SHOUHARDO II, intègre les approches de GC existantes et cherche à trouver des moyens de collecter et de partager les connaissances tangibles, ainsi que de créer des opportunités pour exploiter les connaissances tacites. </w:t>
      </w:r>
    </w:p>
    <w:p w:rsidR="00976521" w14:paraId="3CD1D494" w14:textId="77777777">
      <w:pPr>
        <w:widowControl w:val="0"/>
        <w:spacing w:after="0" w:line="276" w:lineRule="auto"/>
      </w:pPr>
    </w:p>
    <w:p w:rsidR="00976521" w14:paraId="3CD1D495" w14:textId="77777777">
      <w:pPr>
        <w:widowControl w:val="0"/>
        <w:bidi w:val="0"/>
        <w:spacing w:after="0" w:line="276" w:lineRule="auto"/>
      </w:pPr>
      <w:r>
        <w:rPr>
          <w:rtl w:val="0"/>
          <w:lang w:val="fr"/>
        </w:rPr>
        <w:t xml:space="preserve">L'élaboration de cette stratégie s'est inspirée des stratégies mondiales de GC développées par CARE et USAID. La stratégie est également guidée par les conclusions détaillées de l'examen à mi-parcours de SHOUHARDO II, qui préconisait le développement d'une stratégie interne de GC alignée sur le modèle de mise en œuvre de SHOUHARDO II. </w:t>
      </w:r>
    </w:p>
    <w:p w:rsidR="00976521" w14:paraId="3CD1D496" w14:textId="77777777">
      <w:pPr>
        <w:widowControl w:val="0"/>
        <w:spacing w:after="0" w:line="276" w:lineRule="auto"/>
      </w:pPr>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908"/>
        <w:gridCol w:w="7668"/>
      </w:tblGrid>
      <w:tr w14:paraId="3CD1D499" w14:textId="77777777" w:rsidTr="00717556">
        <w:tblPrEx>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blHeader/>
        </w:trPr>
        <w:tc>
          <w:tcPr>
            <w:tcW w:w="1908" w:type="dxa"/>
          </w:tcPr>
          <w:p w:rsidR="00976521" w14:paraId="3CD1D497" w14:textId="77777777">
            <w:pPr>
              <w:widowControl w:val="0"/>
              <w:bidi w:val="0"/>
              <w:spacing w:line="276" w:lineRule="auto"/>
              <w:jc w:val="center"/>
              <w:rPr>
                <w:b/>
              </w:rPr>
            </w:pPr>
            <w:r>
              <w:rPr>
                <w:b/>
                <w:rtl w:val="0"/>
                <w:lang w:val="fr"/>
              </w:rPr>
              <w:t>Composante de la stratégie de GC</w:t>
            </w:r>
          </w:p>
        </w:tc>
        <w:tc>
          <w:tcPr>
            <w:tcW w:w="7668" w:type="dxa"/>
          </w:tcPr>
          <w:p w:rsidR="00976521" w14:paraId="3CD1D498" w14:textId="77777777">
            <w:pPr>
              <w:widowControl w:val="0"/>
              <w:bidi w:val="0"/>
              <w:spacing w:line="276" w:lineRule="auto"/>
              <w:jc w:val="center"/>
              <w:rPr>
                <w:b/>
              </w:rPr>
            </w:pPr>
            <w:r>
              <w:rPr>
                <w:b/>
                <w:rtl w:val="0"/>
                <w:lang w:val="fr"/>
              </w:rPr>
              <w:t>Composante de la stratégie de GC de SHOUHARDO II</w:t>
            </w:r>
          </w:p>
        </w:tc>
      </w:tr>
      <w:tr w14:paraId="3CD1D49C" w14:textId="77777777">
        <w:tblPrEx>
          <w:tblW w:w="9576" w:type="dxa"/>
          <w:tblLayout w:type="fixed"/>
          <w:tblLook w:val="0400"/>
        </w:tblPrEx>
        <w:tc>
          <w:tcPr>
            <w:tcW w:w="1908" w:type="dxa"/>
          </w:tcPr>
          <w:p w:rsidR="00976521" w14:paraId="3CD1D49A" w14:textId="77777777">
            <w:pPr>
              <w:widowControl w:val="0"/>
              <w:bidi w:val="0"/>
              <w:spacing w:line="276" w:lineRule="auto"/>
              <w:rPr>
                <w:color w:val="333333"/>
                <w:sz w:val="22"/>
                <w:szCs w:val="22"/>
                <w:highlight w:val="white"/>
              </w:rPr>
            </w:pPr>
            <w:r>
              <w:rPr>
                <w:color w:val="333333"/>
                <w:sz w:val="22"/>
                <w:szCs w:val="22"/>
                <w:rtl w:val="0"/>
                <w:lang w:val="fr"/>
              </w:rPr>
              <w:t>Alignement sur la mission générale de l'activité, du projet ou de l'organisation.</w:t>
            </w:r>
          </w:p>
        </w:tc>
        <w:tc>
          <w:tcPr>
            <w:tcW w:w="7668" w:type="dxa"/>
          </w:tcPr>
          <w:p w:rsidR="00976521" w14:paraId="3CD1D49B" w14:textId="77777777">
            <w:pPr>
              <w:widowControl w:val="0"/>
              <w:bidi w:val="0"/>
              <w:spacing w:line="276" w:lineRule="auto"/>
              <w:rPr>
                <w:color w:val="333333"/>
                <w:sz w:val="22"/>
                <w:szCs w:val="22"/>
                <w:highlight w:val="white"/>
              </w:rPr>
            </w:pPr>
            <w:r>
              <w:rPr>
                <w:color w:val="333333"/>
                <w:sz w:val="22"/>
                <w:szCs w:val="22"/>
                <w:highlight w:val="white"/>
                <w:rtl w:val="0"/>
                <w:lang w:val="fr"/>
              </w:rPr>
              <w:t>Le personnel de SHOUHARDO II a développé une stratégie complète de GC qui s'aligne sur le modèle de mise en œuvre de SHOUHARDO II et qui permet à la fois de collecter des connaissances explicites et de tirer parti des riches connaissances tacites du personnel, des volontaires et des membres de la communauté. Le personnel et les partenaires du programme SHOUHARDO II croient en l'adoption d'une approche systématique de la GC et en l'exploitation des connaissances générées pour aider le programme à atteindre efficacement son objectif global, qui est de « transformer la vie de 370 000 ménages pauvres et extrêmement pauvres (PEP) dans 11 des districts les plus pauvres et marginalisés du Bangladesh en réduisant leur vulnérabilité à l'insécurité alimentaire ».</w:t>
            </w:r>
          </w:p>
        </w:tc>
      </w:tr>
      <w:tr w14:paraId="3CD1D4A1" w14:textId="77777777">
        <w:tblPrEx>
          <w:tblW w:w="9576" w:type="dxa"/>
          <w:tblLayout w:type="fixed"/>
          <w:tblLook w:val="0400"/>
        </w:tblPrEx>
        <w:tc>
          <w:tcPr>
            <w:tcW w:w="1908" w:type="dxa"/>
          </w:tcPr>
          <w:p w:rsidR="00976521" w14:paraId="3CD1D49D" w14:textId="77777777">
            <w:pPr>
              <w:widowControl w:val="0"/>
              <w:bidi w:val="0"/>
              <w:spacing w:line="276" w:lineRule="auto"/>
              <w:rPr>
                <w:color w:val="333333"/>
                <w:sz w:val="22"/>
                <w:szCs w:val="22"/>
                <w:highlight w:val="white"/>
              </w:rPr>
            </w:pPr>
            <w:r>
              <w:rPr>
                <w:color w:val="333333"/>
                <w:sz w:val="22"/>
                <w:szCs w:val="22"/>
                <w:highlight w:val="white"/>
                <w:rtl w:val="0"/>
                <w:lang w:val="fr"/>
              </w:rPr>
              <w:t>Soutenir les parties prenantes</w:t>
            </w:r>
          </w:p>
          <w:p w:rsidR="00976521" w14:paraId="3CD1D49E" w14:textId="77777777">
            <w:pPr>
              <w:widowControl w:val="0"/>
              <w:spacing w:line="276" w:lineRule="auto"/>
              <w:rPr>
                <w:color w:val="333333"/>
                <w:sz w:val="22"/>
                <w:szCs w:val="22"/>
                <w:highlight w:val="white"/>
              </w:rPr>
            </w:pPr>
          </w:p>
          <w:p w:rsidR="00976521" w14:paraId="3CD1D49F" w14:textId="77777777">
            <w:pPr>
              <w:widowControl w:val="0"/>
              <w:spacing w:line="276" w:lineRule="auto"/>
              <w:rPr>
                <w:color w:val="333333"/>
                <w:sz w:val="22"/>
                <w:szCs w:val="22"/>
                <w:highlight w:val="white"/>
              </w:rPr>
            </w:pPr>
          </w:p>
        </w:tc>
        <w:tc>
          <w:tcPr>
            <w:tcW w:w="7668" w:type="dxa"/>
          </w:tcPr>
          <w:p w:rsidR="00976521" w14:paraId="3CD1D4A0" w14:textId="77777777">
            <w:pPr>
              <w:widowControl w:val="0"/>
              <w:bidi w:val="0"/>
              <w:spacing w:line="276" w:lineRule="auto"/>
              <w:rPr>
                <w:color w:val="333333"/>
                <w:sz w:val="22"/>
                <w:szCs w:val="22"/>
              </w:rPr>
            </w:pPr>
            <w:r>
              <w:rPr>
                <w:color w:val="333333"/>
                <w:sz w:val="22"/>
                <w:szCs w:val="22"/>
                <w:rtl w:val="0"/>
                <w:lang w:val="fr"/>
              </w:rPr>
              <w:t xml:space="preserve">Les ministères du gouvernement dans le cadre d'un mécanisme de coordination appelé le Comité consultatif de coordination du programme (CCCP). Le personnel de CARE Bangladesh à tous les niveaux, y compris les cadres. Bénéficiaires au niveau du terrain. </w:t>
            </w:r>
          </w:p>
        </w:tc>
      </w:tr>
      <w:tr w14:paraId="3CD1D4A6" w14:textId="77777777">
        <w:tblPrEx>
          <w:tblW w:w="9576" w:type="dxa"/>
          <w:tblLayout w:type="fixed"/>
          <w:tblLook w:val="0400"/>
        </w:tblPrEx>
        <w:tc>
          <w:tcPr>
            <w:tcW w:w="1908" w:type="dxa"/>
          </w:tcPr>
          <w:p w:rsidR="00976521" w14:paraId="3CD1D4A2" w14:textId="77777777">
            <w:pPr>
              <w:widowControl w:val="0"/>
              <w:bidi w:val="0"/>
              <w:spacing w:line="276" w:lineRule="auto"/>
              <w:rPr>
                <w:color w:val="333333"/>
                <w:sz w:val="22"/>
                <w:szCs w:val="22"/>
                <w:highlight w:val="white"/>
              </w:rPr>
            </w:pPr>
            <w:r>
              <w:rPr>
                <w:color w:val="333333"/>
                <w:sz w:val="22"/>
                <w:szCs w:val="22"/>
                <w:highlight w:val="white"/>
                <w:rtl w:val="0"/>
                <w:lang w:val="fr"/>
              </w:rPr>
              <w:t>Public(s)</w:t>
            </w:r>
          </w:p>
        </w:tc>
        <w:tc>
          <w:tcPr>
            <w:tcW w:w="7668" w:type="dxa"/>
          </w:tcPr>
          <w:p w:rsidR="00976521" w14:paraId="3CD1D4A3" w14:textId="77777777">
            <w:pPr>
              <w:widowControl w:val="0"/>
              <w:numPr>
                <w:ilvl w:val="0"/>
                <w:numId w:val="2"/>
              </w:numPr>
              <w:bidi w:val="0"/>
              <w:spacing w:line="276" w:lineRule="auto"/>
              <w:rPr>
                <w:color w:val="333333"/>
                <w:sz w:val="22"/>
                <w:szCs w:val="22"/>
                <w:highlight w:val="white"/>
              </w:rPr>
            </w:pPr>
            <w:r>
              <w:rPr>
                <w:color w:val="333333"/>
                <w:sz w:val="22"/>
                <w:szCs w:val="22"/>
                <w:highlight w:val="white"/>
                <w:rtl w:val="0"/>
                <w:lang w:val="fr"/>
              </w:rPr>
              <w:t>Les femmes les plus marginalisées socialement, économiquement et politiquement.</w:t>
            </w:r>
          </w:p>
          <w:p w:rsidR="00976521" w14:paraId="3CD1D4A4" w14:textId="77777777">
            <w:pPr>
              <w:widowControl w:val="0"/>
              <w:numPr>
                <w:ilvl w:val="0"/>
                <w:numId w:val="2"/>
              </w:numPr>
              <w:bidi w:val="0"/>
              <w:spacing w:line="276" w:lineRule="auto"/>
              <w:rPr>
                <w:color w:val="333333"/>
                <w:sz w:val="22"/>
                <w:szCs w:val="22"/>
                <w:highlight w:val="white"/>
              </w:rPr>
            </w:pPr>
            <w:r>
              <w:rPr>
                <w:color w:val="333333"/>
                <w:sz w:val="22"/>
                <w:szCs w:val="22"/>
                <w:rtl w:val="0"/>
                <w:lang w:val="fr"/>
              </w:rPr>
              <w:t>Personnes extrêmement pauvres dans les zones rurales</w:t>
            </w:r>
          </w:p>
          <w:p w:rsidR="00976521" w14:paraId="3CD1D4A5" w14:textId="77777777">
            <w:pPr>
              <w:widowControl w:val="0"/>
              <w:numPr>
                <w:ilvl w:val="0"/>
                <w:numId w:val="2"/>
              </w:numPr>
              <w:bidi w:val="0"/>
              <w:spacing w:line="276" w:lineRule="auto"/>
              <w:rPr>
                <w:color w:val="333333"/>
                <w:sz w:val="22"/>
                <w:szCs w:val="22"/>
              </w:rPr>
            </w:pPr>
            <w:r>
              <w:rPr>
                <w:color w:val="333333"/>
                <w:sz w:val="22"/>
                <w:szCs w:val="22"/>
                <w:rtl w:val="0"/>
                <w:lang w:val="fr"/>
              </w:rPr>
              <w:t>Les personnes et les communautés sujettes aux catastrophes et aux changements environnementaux</w:t>
            </w:r>
          </w:p>
        </w:tc>
      </w:tr>
      <w:tr w14:paraId="3CD1D4AB" w14:textId="77777777">
        <w:tblPrEx>
          <w:tblW w:w="9576" w:type="dxa"/>
          <w:tblLayout w:type="fixed"/>
          <w:tblLook w:val="0400"/>
        </w:tblPrEx>
        <w:tc>
          <w:tcPr>
            <w:tcW w:w="1908" w:type="dxa"/>
          </w:tcPr>
          <w:p w:rsidR="00976521" w14:paraId="3CD1D4A7" w14:textId="77777777">
            <w:pPr>
              <w:widowControl w:val="0"/>
              <w:bidi w:val="0"/>
              <w:spacing w:line="276" w:lineRule="auto"/>
              <w:rPr>
                <w:color w:val="333333"/>
                <w:sz w:val="22"/>
                <w:szCs w:val="22"/>
              </w:rPr>
            </w:pPr>
            <w:r>
              <w:rPr>
                <w:color w:val="333333"/>
                <w:sz w:val="22"/>
                <w:szCs w:val="22"/>
                <w:rtl w:val="0"/>
                <w:lang w:val="fr"/>
              </w:rPr>
              <w:t xml:space="preserve">Théorie(s) justificative(s) </w:t>
            </w:r>
          </w:p>
          <w:p w:rsidR="00976521" w14:paraId="3CD1D4A8" w14:textId="77777777">
            <w:pPr>
              <w:widowControl w:val="0"/>
              <w:spacing w:line="276" w:lineRule="auto"/>
              <w:rPr>
                <w:color w:val="333333"/>
                <w:sz w:val="22"/>
                <w:szCs w:val="22"/>
              </w:rPr>
            </w:pPr>
          </w:p>
          <w:p w:rsidR="00976521" w14:paraId="3CD1D4A9" w14:textId="77777777">
            <w:pPr>
              <w:widowControl w:val="0"/>
              <w:spacing w:line="276" w:lineRule="auto"/>
              <w:rPr>
                <w:color w:val="333333"/>
                <w:sz w:val="22"/>
                <w:szCs w:val="22"/>
                <w:highlight w:val="white"/>
              </w:rPr>
            </w:pPr>
          </w:p>
        </w:tc>
        <w:tc>
          <w:tcPr>
            <w:tcW w:w="7668" w:type="dxa"/>
          </w:tcPr>
          <w:p w:rsidR="00976521" w14:paraId="3CD1D4AA" w14:textId="77777777">
            <w:pPr>
              <w:widowControl w:val="0"/>
              <w:bidi w:val="0"/>
              <w:spacing w:line="276" w:lineRule="auto"/>
              <w:rPr>
                <w:color w:val="333333"/>
                <w:sz w:val="22"/>
                <w:szCs w:val="22"/>
                <w:highlight w:val="white"/>
              </w:rPr>
            </w:pPr>
            <w:r>
              <w:rPr>
                <w:color w:val="333333"/>
                <w:sz w:val="22"/>
                <w:szCs w:val="22"/>
                <w:highlight w:val="white"/>
                <w:rtl w:val="0"/>
                <w:lang w:val="fr"/>
              </w:rPr>
              <w:t>Sans connaissance, nous ne sommes pas en mesure de produire des preuves d'impact. Une plus grande concentration GC favoriseront la croissance individuelle et professionnelle du personnel de SHOUHARDO II, y compris de ses partenaires clés. Le fait de mettre l'accent sur la GC au sein du programme aide le personnel du programme à rester responsable devant les communautés desservies par le programme.</w:t>
            </w:r>
          </w:p>
        </w:tc>
      </w:tr>
      <w:tr w14:paraId="3CD1D4B1" w14:textId="77777777">
        <w:tblPrEx>
          <w:tblW w:w="9576" w:type="dxa"/>
          <w:tblLayout w:type="fixed"/>
          <w:tblLook w:val="0400"/>
        </w:tblPrEx>
        <w:tc>
          <w:tcPr>
            <w:tcW w:w="1908" w:type="dxa"/>
          </w:tcPr>
          <w:p w:rsidR="00976521" w14:paraId="3CD1D4AC" w14:textId="77777777">
            <w:pPr>
              <w:widowControl w:val="0"/>
              <w:bidi w:val="0"/>
              <w:spacing w:line="276" w:lineRule="auto"/>
              <w:rPr>
                <w:color w:val="333333"/>
                <w:sz w:val="22"/>
                <w:szCs w:val="22"/>
                <w:highlight w:val="white"/>
              </w:rPr>
            </w:pPr>
            <w:r>
              <w:rPr>
                <w:color w:val="333333"/>
                <w:sz w:val="22"/>
                <w:szCs w:val="22"/>
                <w:highlight w:val="white"/>
                <w:rtl w:val="0"/>
                <w:lang w:val="fr"/>
              </w:rPr>
              <w:t xml:space="preserve">Définition de la GC </w:t>
            </w:r>
          </w:p>
        </w:tc>
        <w:tc>
          <w:tcPr>
            <w:tcW w:w="7668" w:type="dxa"/>
          </w:tcPr>
          <w:p w:rsidR="00976521" w14:paraId="3CD1D4AD" w14:textId="77777777">
            <w:pPr>
              <w:widowControl w:val="0"/>
              <w:bidi w:val="0"/>
              <w:spacing w:line="276" w:lineRule="auto"/>
              <w:rPr>
                <w:color w:val="333333"/>
                <w:sz w:val="22"/>
                <w:szCs w:val="22"/>
                <w:highlight w:val="white"/>
              </w:rPr>
            </w:pPr>
            <w:r>
              <w:rPr>
                <w:color w:val="333333"/>
                <w:sz w:val="22"/>
                <w:szCs w:val="22"/>
                <w:highlight w:val="white"/>
                <w:rtl w:val="0"/>
                <w:lang w:val="fr"/>
              </w:rPr>
              <w:t>Il existe, à l'échelle mondiale, un certain nombre de définitions de la GC couvrant l'acquisition et le partage des connaissances et des enseignements clés. Au sein de CARE, les trois définitions suivantes guident le travail de l'unité de gestion des connaissances de SHOUHARDO II. Ces définitions soulignent l'importance de créer des synergies entre les données et les informations afin de favoriser l'innovation et de donner aux communautés les moyens d'opérer des changements. Les trois définitions directrices sont les suivantes :</w:t>
            </w:r>
          </w:p>
          <w:p w:rsidR="00976521" w14:paraId="3CD1D4AE" w14:textId="77777777">
            <w:pPr>
              <w:widowControl w:val="0"/>
              <w:numPr>
                <w:ilvl w:val="0"/>
                <w:numId w:val="6"/>
              </w:numPr>
              <w:bidi w:val="0"/>
              <w:spacing w:line="276" w:lineRule="auto"/>
              <w:ind w:left="340" w:hanging="270"/>
              <w:contextualSpacing/>
              <w:rPr>
                <w:color w:val="333333"/>
                <w:sz w:val="22"/>
                <w:szCs w:val="22"/>
              </w:rPr>
            </w:pPr>
            <w:r>
              <w:rPr>
                <w:color w:val="333333"/>
                <w:sz w:val="22"/>
                <w:szCs w:val="22"/>
                <w:rtl w:val="0"/>
                <w:lang w:val="fr"/>
              </w:rPr>
              <w:t>"La gestion des connaissances fait référence aux questions cruciales de l'adaptation, de la survie et de la compétence des organisations face aux changements environnementaux discontinus. Il s'agit essentiellement de processus organisationnels qui visent à combiner de manière synergique les données et les technologies de l'information, ainsi que la capacité de création et d'innovation des êtres humains. » - Yogesh Malhotra</w:t>
            </w:r>
          </w:p>
          <w:p w:rsidR="00976521" w14:paraId="3CD1D4AF" w14:textId="77777777">
            <w:pPr>
              <w:widowControl w:val="0"/>
              <w:numPr>
                <w:ilvl w:val="0"/>
                <w:numId w:val="6"/>
              </w:numPr>
              <w:bidi w:val="0"/>
              <w:spacing w:line="276" w:lineRule="auto"/>
              <w:ind w:left="340" w:hanging="270"/>
              <w:contextualSpacing/>
              <w:rPr>
                <w:color w:val="333333"/>
                <w:sz w:val="22"/>
                <w:szCs w:val="22"/>
              </w:rPr>
            </w:pPr>
            <w:bookmarkStart w:id="0" w:name="_gjdgxs" w:colFirst="0" w:colLast="0"/>
            <w:bookmarkEnd w:id="0"/>
            <w:r>
              <w:rPr>
                <w:color w:val="333333"/>
                <w:sz w:val="22"/>
                <w:szCs w:val="22"/>
                <w:rtl w:val="0"/>
                <w:lang w:val="fr"/>
              </w:rPr>
              <w:t>« La connaissance est une information qui change quelque chose ou quelqu'un - soit en devenant un motif d'action, soit en rendant un individu (ou une institution) capable d'actions différentes ou plus efficaces. » - Peter Drucker</w:t>
            </w:r>
          </w:p>
          <w:p w:rsidR="00976521" w14:paraId="3CD1D4B0" w14:textId="77777777">
            <w:pPr>
              <w:widowControl w:val="0"/>
              <w:numPr>
                <w:ilvl w:val="0"/>
                <w:numId w:val="6"/>
              </w:numPr>
              <w:bidi w:val="0"/>
              <w:spacing w:after="120" w:line="276" w:lineRule="auto"/>
              <w:ind w:left="340" w:hanging="270"/>
              <w:contextualSpacing/>
              <w:rPr>
                <w:color w:val="333333"/>
                <w:sz w:val="22"/>
                <w:szCs w:val="22"/>
              </w:rPr>
            </w:pPr>
            <w:r>
              <w:rPr>
                <w:color w:val="333333"/>
                <w:sz w:val="22"/>
                <w:szCs w:val="22"/>
                <w:rtl w:val="0"/>
                <w:lang w:val="fr"/>
              </w:rPr>
              <w:t>« Les processus d'autonomisation qui sont associés aux approches fondées sur les droits et qui cherchent à promouvoir la justice sociale pour les groupes vulnérables et marginalisés (les pauvres, les femmes, les handicapés). La connaissance et l'apprentissage sont des éléments importants de l'autonomisation dans la mesure où ils constituent la base des décisions stratégiques et des choix de vie des individus. Étant donné que l'autonomisation est reconnue comme « la force motrice du développement centré sur les personnes ». - Andrew Bartlett</w:t>
            </w:r>
          </w:p>
        </w:tc>
      </w:tr>
      <w:tr w14:paraId="3CD1D4B7" w14:textId="77777777">
        <w:tblPrEx>
          <w:tblW w:w="9576" w:type="dxa"/>
          <w:tblLayout w:type="fixed"/>
          <w:tblLook w:val="0400"/>
        </w:tblPrEx>
        <w:tc>
          <w:tcPr>
            <w:tcW w:w="1908" w:type="dxa"/>
          </w:tcPr>
          <w:p w:rsidR="00976521" w14:paraId="3CD1D4B2" w14:textId="77777777">
            <w:pPr>
              <w:widowControl w:val="0"/>
              <w:bidi w:val="0"/>
              <w:spacing w:line="276" w:lineRule="auto"/>
              <w:rPr>
                <w:color w:val="333333"/>
                <w:sz w:val="22"/>
                <w:szCs w:val="22"/>
                <w:highlight w:val="white"/>
              </w:rPr>
            </w:pPr>
            <w:r>
              <w:rPr>
                <w:color w:val="333333"/>
                <w:sz w:val="22"/>
                <w:szCs w:val="22"/>
                <w:rtl w:val="0"/>
                <w:lang w:val="fr"/>
              </w:rPr>
              <w:t>Objectifs SMART</w:t>
            </w:r>
          </w:p>
        </w:tc>
        <w:tc>
          <w:tcPr>
            <w:tcW w:w="7668" w:type="dxa"/>
          </w:tcPr>
          <w:p w:rsidR="00976521" w14:paraId="3CD1D4B3" w14:textId="77777777">
            <w:pPr>
              <w:widowControl w:val="0"/>
              <w:numPr>
                <w:ilvl w:val="0"/>
                <w:numId w:val="7"/>
              </w:numPr>
              <w:bidi w:val="0"/>
              <w:spacing w:line="276" w:lineRule="auto"/>
              <w:contextualSpacing/>
              <w:rPr>
                <w:color w:val="333333"/>
                <w:sz w:val="22"/>
                <w:szCs w:val="22"/>
                <w:highlight w:val="white"/>
              </w:rPr>
            </w:pPr>
            <w:r>
              <w:rPr>
                <w:color w:val="333333"/>
                <w:sz w:val="22"/>
                <w:szCs w:val="22"/>
                <w:highlight w:val="white"/>
                <w:rtl w:val="0"/>
                <w:lang w:val="fr"/>
              </w:rPr>
              <w:t>Construire une base d'informations solide, robuste et sûre (Nos informations).</w:t>
            </w:r>
          </w:p>
          <w:p w:rsidR="00976521" w14:paraId="3CD1D4B4" w14:textId="77777777">
            <w:pPr>
              <w:widowControl w:val="0"/>
              <w:numPr>
                <w:ilvl w:val="0"/>
                <w:numId w:val="7"/>
              </w:numPr>
              <w:bidi w:val="0"/>
              <w:spacing w:line="276" w:lineRule="auto"/>
              <w:contextualSpacing/>
              <w:rPr>
                <w:color w:val="333333"/>
                <w:sz w:val="22"/>
                <w:szCs w:val="22"/>
                <w:highlight w:val="white"/>
              </w:rPr>
            </w:pPr>
            <w:r>
              <w:rPr>
                <w:color w:val="333333"/>
                <w:sz w:val="22"/>
                <w:szCs w:val="22"/>
                <w:highlight w:val="white"/>
                <w:rtl w:val="0"/>
                <w:lang w:val="fr"/>
              </w:rPr>
              <w:t>Développer et préserver l'expérience et l'expertise du programme SHOUHARDO II (Nos connaissances).</w:t>
            </w:r>
          </w:p>
          <w:p w:rsidR="00976521" w14:paraId="3CD1D4B5" w14:textId="77777777">
            <w:pPr>
              <w:widowControl w:val="0"/>
              <w:numPr>
                <w:ilvl w:val="0"/>
                <w:numId w:val="7"/>
              </w:numPr>
              <w:bidi w:val="0"/>
              <w:spacing w:line="276" w:lineRule="auto"/>
              <w:contextualSpacing/>
              <w:rPr>
                <w:color w:val="333333"/>
                <w:sz w:val="22"/>
                <w:szCs w:val="22"/>
                <w:highlight w:val="white"/>
              </w:rPr>
            </w:pPr>
            <w:r>
              <w:rPr>
                <w:color w:val="333333"/>
                <w:sz w:val="22"/>
                <w:szCs w:val="22"/>
                <w:highlight w:val="white"/>
                <w:rtl w:val="0"/>
                <w:lang w:val="fr"/>
              </w:rPr>
              <w:t>Aider les personnes (personnel et communautés) à appliquer les informations et les connaissances dans leur travail quotidien (Nos outils).</w:t>
            </w:r>
          </w:p>
          <w:p w:rsidR="00976521" w14:paraId="3CD1D4B6" w14:textId="77777777">
            <w:pPr>
              <w:widowControl w:val="0"/>
              <w:numPr>
                <w:ilvl w:val="0"/>
                <w:numId w:val="7"/>
              </w:numPr>
              <w:bidi w:val="0"/>
              <w:spacing w:after="120" w:line="276" w:lineRule="auto"/>
              <w:contextualSpacing/>
              <w:rPr>
                <w:color w:val="333333"/>
                <w:sz w:val="22"/>
                <w:szCs w:val="22"/>
                <w:highlight w:val="white"/>
              </w:rPr>
            </w:pPr>
            <w:r>
              <w:rPr>
                <w:color w:val="333333"/>
                <w:sz w:val="22"/>
                <w:szCs w:val="22"/>
                <w:highlight w:val="white"/>
                <w:rtl w:val="0"/>
                <w:lang w:val="fr"/>
              </w:rPr>
              <w:t>Créer un environnement dans lequel prendre le temps de créer des réseaux, de partager, de réfléchir et d'apprendre est encouragé et valorisé par un leadership fort à tous les niveaux (notre culture).</w:t>
            </w:r>
          </w:p>
        </w:tc>
      </w:tr>
      <w:tr w14:paraId="3CD1D4BA" w14:textId="77777777">
        <w:tblPrEx>
          <w:tblW w:w="9576" w:type="dxa"/>
          <w:tblLayout w:type="fixed"/>
          <w:tblLook w:val="0400"/>
        </w:tblPrEx>
        <w:tc>
          <w:tcPr>
            <w:tcW w:w="1908" w:type="dxa"/>
          </w:tcPr>
          <w:p w:rsidR="00976521" w14:paraId="3CD1D4B8" w14:textId="77777777">
            <w:pPr>
              <w:widowControl w:val="0"/>
              <w:bidi w:val="0"/>
              <w:spacing w:line="276" w:lineRule="auto"/>
              <w:rPr>
                <w:color w:val="333333"/>
                <w:sz w:val="22"/>
                <w:szCs w:val="22"/>
                <w:highlight w:val="white"/>
              </w:rPr>
            </w:pPr>
            <w:r>
              <w:rPr>
                <w:color w:val="333333"/>
                <w:sz w:val="22"/>
                <w:szCs w:val="22"/>
                <w:rtl w:val="0"/>
                <w:lang w:val="fr"/>
              </w:rPr>
              <w:t>Processus de mise en œuvre et rôles du personnel</w:t>
            </w:r>
          </w:p>
        </w:tc>
        <w:tc>
          <w:tcPr>
            <w:tcW w:w="7668" w:type="dxa"/>
          </w:tcPr>
          <w:p w:rsidR="00976521" w14:paraId="3CD1D4B9" w14:textId="77777777">
            <w:pPr>
              <w:widowControl w:val="0"/>
              <w:bidi w:val="0"/>
              <w:spacing w:line="276" w:lineRule="auto"/>
              <w:rPr>
                <w:color w:val="333333"/>
                <w:sz w:val="22"/>
                <w:szCs w:val="22"/>
                <w:highlight w:val="white"/>
              </w:rPr>
            </w:pPr>
            <w:r>
              <w:rPr>
                <w:color w:val="333333"/>
                <w:sz w:val="22"/>
                <w:szCs w:val="22"/>
                <w:highlight w:val="white"/>
                <w:rtl w:val="0"/>
                <w:lang w:val="fr"/>
              </w:rPr>
              <w:t>L'apprentissage se fait à différents niveaux du système. L'apprentissage systématique réussit lorsque chaque individu prend la responsabilité de promouvoir un environnement d'apprentissage. La direction de SHOUHARDO II estime que l'apprentissage ne se limite pas à l'équipe de GC, mais qu'il fait partie intégrante des fonctions de chaque membre du personnel, quelle que soit sa position. À ce titre, la direction s'efforce d'établir des liens entre tous les membres de l'équipe afin de garantir un flux d'informations fluide vers et depuis le personnel sur le terrain. L'équipe de GC soutient cet échange en dirigeant le déploiement du système de GC et en surveillant le niveau et le type d'informations générées. Si nécessaire, ils apportent leur soutien aux autres membres du personnel du programme afin d'améliorer les données collectées et l'analyse entreprise.</w:t>
            </w:r>
          </w:p>
        </w:tc>
      </w:tr>
      <w:tr w14:paraId="3CD1D4C0" w14:textId="77777777">
        <w:tblPrEx>
          <w:tblW w:w="9576" w:type="dxa"/>
          <w:tblLayout w:type="fixed"/>
          <w:tblLook w:val="0400"/>
        </w:tblPrEx>
        <w:tc>
          <w:tcPr>
            <w:tcW w:w="1908" w:type="dxa"/>
          </w:tcPr>
          <w:p w:rsidR="00976521" w14:paraId="3CD1D4BB" w14:textId="77777777">
            <w:pPr>
              <w:bidi w:val="0"/>
              <w:rPr>
                <w:color w:val="333333"/>
                <w:sz w:val="22"/>
                <w:szCs w:val="22"/>
              </w:rPr>
            </w:pPr>
            <w:r>
              <w:rPr>
                <w:color w:val="333333"/>
                <w:sz w:val="22"/>
                <w:szCs w:val="22"/>
                <w:rtl w:val="0"/>
                <w:lang w:val="fr"/>
              </w:rPr>
              <w:t>Budget, calendrier et ressources humaines</w:t>
            </w:r>
          </w:p>
          <w:p w:rsidR="00976521" w14:paraId="3CD1D4BC" w14:textId="77777777">
            <w:pPr>
              <w:widowControl w:val="0"/>
              <w:spacing w:line="276" w:lineRule="auto"/>
              <w:rPr>
                <w:color w:val="333333"/>
                <w:sz w:val="22"/>
                <w:szCs w:val="22"/>
              </w:rPr>
            </w:pPr>
          </w:p>
        </w:tc>
        <w:tc>
          <w:tcPr>
            <w:tcW w:w="7668" w:type="dxa"/>
          </w:tcPr>
          <w:p w:rsidR="00976521" w14:paraId="3CD1D4BD" w14:textId="77777777">
            <w:pPr>
              <w:widowControl w:val="0"/>
              <w:bidi w:val="0"/>
              <w:spacing w:line="276" w:lineRule="auto"/>
              <w:rPr>
                <w:color w:val="333333"/>
                <w:sz w:val="22"/>
                <w:szCs w:val="22"/>
              </w:rPr>
            </w:pPr>
            <w:r>
              <w:rPr>
                <w:color w:val="333333"/>
                <w:sz w:val="22"/>
                <w:szCs w:val="22"/>
                <w:rtl w:val="0"/>
                <w:lang w:val="fr"/>
              </w:rPr>
              <w:t xml:space="preserve">Petite équipe de direction « Small Senior Management Team (SSMT) » : Cette petite équipe comprend des gestionnaires de niveau régional et des décideurs de programmes (équipe de direction « Senior Management Team (SMT) » et a pour mission de fournir un retour d'information sur les questions stratégiques et le partage des meilleures pratiques d'un point de vue programmatique. Au cours des réunions régulières d'une journée qui se tiennent au bureau de pays, les cadres supérieurs partagent les sujets de préoccupation et identifient des solutions pour résoudre les problèmes clés avec les décideurs de haut niveau. </w:t>
            </w:r>
          </w:p>
          <w:p w:rsidR="00976521" w14:paraId="3CD1D4BE" w14:textId="77777777">
            <w:pPr>
              <w:widowControl w:val="0"/>
              <w:spacing w:line="276" w:lineRule="auto"/>
              <w:rPr>
                <w:color w:val="333333"/>
                <w:sz w:val="22"/>
                <w:szCs w:val="22"/>
              </w:rPr>
            </w:pPr>
          </w:p>
          <w:p w:rsidR="00976521" w14:paraId="3CD1D4BF" w14:textId="77777777">
            <w:pPr>
              <w:widowControl w:val="0"/>
              <w:bidi w:val="0"/>
              <w:spacing w:line="276" w:lineRule="auto"/>
              <w:rPr>
                <w:color w:val="333333"/>
                <w:sz w:val="22"/>
                <w:szCs w:val="22"/>
              </w:rPr>
            </w:pPr>
            <w:r>
              <w:rPr>
                <w:color w:val="333333"/>
                <w:sz w:val="22"/>
                <w:szCs w:val="22"/>
                <w:rtl w:val="0"/>
                <w:lang w:val="fr"/>
              </w:rPr>
              <w:t>Grande équipe de direction « Large Senior Management Team (LSMT) » : Chaque trimestre, une grande réunion de SMT, composée à la fois de personnel de terrain et de personnel du siège, se tient au niveau régional et comprend des visites conjointes sur le terrain.  Les visites sur le terrain et les sessions de réflexion qui s'ensuivent permettent d'observer les interventions existantes au niveau du village (programme) et de discuter des techniques d'amélioration des interventions au niveau du site et du programme.  Cette grande équipe de direction (LSMT) élargi est considéré comme important pour fournir un forum de gestion permettant au personnel clé sur le terrain de faire part de ses préoccupations et de partager ses idées, et pour garantir que les cadres supérieurs restent en contact avec leurs opérations régionales.</w:t>
            </w:r>
          </w:p>
        </w:tc>
      </w:tr>
      <w:tr w14:paraId="3CD1D4D5" w14:textId="77777777">
        <w:tblPrEx>
          <w:tblW w:w="9576" w:type="dxa"/>
          <w:tblLayout w:type="fixed"/>
          <w:tblLook w:val="0400"/>
        </w:tblPrEx>
        <w:tc>
          <w:tcPr>
            <w:tcW w:w="1908" w:type="dxa"/>
          </w:tcPr>
          <w:p w:rsidR="00976521" w14:paraId="3CD1D4C1" w14:textId="77777777">
            <w:pPr>
              <w:bidi w:val="0"/>
              <w:rPr>
                <w:color w:val="333333"/>
                <w:sz w:val="22"/>
                <w:szCs w:val="22"/>
              </w:rPr>
            </w:pPr>
            <w:r>
              <w:rPr>
                <w:color w:val="333333"/>
                <w:sz w:val="22"/>
                <w:szCs w:val="22"/>
                <w:rtl w:val="0"/>
                <w:lang w:val="fr"/>
              </w:rPr>
              <w:t>Approches de GC</w:t>
            </w:r>
          </w:p>
        </w:tc>
        <w:tc>
          <w:tcPr>
            <w:tcW w:w="7668" w:type="dxa"/>
          </w:tcPr>
          <w:p w:rsidR="00976521" w14:paraId="3CD1D4C2" w14:textId="77777777">
            <w:pPr>
              <w:widowControl w:val="0"/>
              <w:bidi w:val="0"/>
              <w:spacing w:line="276" w:lineRule="auto"/>
              <w:rPr>
                <w:color w:val="333333"/>
                <w:sz w:val="22"/>
                <w:szCs w:val="22"/>
                <w:highlight w:val="white"/>
              </w:rPr>
            </w:pPr>
            <w:r>
              <w:rPr>
                <w:color w:val="333333"/>
                <w:sz w:val="22"/>
                <w:szCs w:val="22"/>
                <w:highlight w:val="white"/>
                <w:rtl w:val="0"/>
                <w:lang w:val="fr"/>
              </w:rPr>
              <w:t>Capture et organisation des connaissances</w:t>
            </w:r>
          </w:p>
          <w:p w:rsidR="00976521" w14:paraId="3CD1D4C3" w14:textId="77777777">
            <w:pPr>
              <w:widowControl w:val="0"/>
              <w:numPr>
                <w:ilvl w:val="0"/>
                <w:numId w:val="5"/>
              </w:numPr>
              <w:bidi w:val="0"/>
              <w:spacing w:line="276" w:lineRule="auto"/>
              <w:contextualSpacing/>
              <w:rPr>
                <w:color w:val="333333"/>
                <w:sz w:val="22"/>
                <w:szCs w:val="22"/>
                <w:highlight w:val="white"/>
              </w:rPr>
            </w:pPr>
            <w:r>
              <w:rPr>
                <w:color w:val="333333"/>
                <w:sz w:val="22"/>
                <w:szCs w:val="22"/>
                <w:highlight w:val="white"/>
                <w:rtl w:val="0"/>
                <w:lang w:val="fr"/>
              </w:rPr>
              <w:t>Lecteur réseau partagé</w:t>
            </w:r>
          </w:p>
          <w:p w:rsidR="00976521" w14:paraId="3CD1D4C4" w14:textId="77777777">
            <w:pPr>
              <w:widowControl w:val="0"/>
              <w:numPr>
                <w:ilvl w:val="0"/>
                <w:numId w:val="5"/>
              </w:numPr>
              <w:bidi w:val="0"/>
              <w:spacing w:line="276" w:lineRule="auto"/>
              <w:contextualSpacing/>
              <w:rPr>
                <w:color w:val="333333"/>
                <w:sz w:val="22"/>
                <w:szCs w:val="22"/>
                <w:highlight w:val="white"/>
              </w:rPr>
            </w:pPr>
            <w:r>
              <w:rPr>
                <w:color w:val="333333"/>
                <w:sz w:val="22"/>
                <w:szCs w:val="22"/>
                <w:highlight w:val="white"/>
                <w:rtl w:val="0"/>
                <w:lang w:val="fr"/>
              </w:rPr>
              <w:t>Site Web</w:t>
            </w:r>
          </w:p>
          <w:p w:rsidR="00976521" w14:paraId="3CD1D4C5" w14:textId="77777777">
            <w:pPr>
              <w:widowControl w:val="0"/>
              <w:numPr>
                <w:ilvl w:val="0"/>
                <w:numId w:val="5"/>
              </w:numPr>
              <w:bidi w:val="0"/>
              <w:spacing w:line="276" w:lineRule="auto"/>
              <w:contextualSpacing/>
              <w:rPr>
                <w:color w:val="333333"/>
                <w:sz w:val="22"/>
                <w:szCs w:val="22"/>
                <w:highlight w:val="white"/>
              </w:rPr>
            </w:pPr>
            <w:r>
              <w:rPr>
                <w:color w:val="333333"/>
                <w:sz w:val="22"/>
                <w:szCs w:val="22"/>
                <w:highlight w:val="white"/>
                <w:rtl w:val="0"/>
                <w:lang w:val="fr"/>
              </w:rPr>
              <w:t>Plan d'action communautaire</w:t>
            </w:r>
          </w:p>
          <w:p w:rsidR="00976521" w14:paraId="3CD1D4C6" w14:textId="77777777">
            <w:pPr>
              <w:widowControl w:val="0"/>
              <w:numPr>
                <w:ilvl w:val="0"/>
                <w:numId w:val="5"/>
              </w:numPr>
              <w:bidi w:val="0"/>
              <w:spacing w:line="276" w:lineRule="auto"/>
              <w:contextualSpacing/>
              <w:rPr>
                <w:color w:val="333333"/>
                <w:sz w:val="22"/>
                <w:szCs w:val="22"/>
                <w:highlight w:val="white"/>
              </w:rPr>
            </w:pPr>
            <w:r>
              <w:rPr>
                <w:color w:val="333333"/>
                <w:sz w:val="22"/>
                <w:szCs w:val="22"/>
                <w:highlight w:val="white"/>
                <w:rtl w:val="0"/>
                <w:lang w:val="fr"/>
              </w:rPr>
              <w:t>Analyse du paysage</w:t>
            </w:r>
          </w:p>
          <w:p w:rsidR="00976521" w14:paraId="3CD1D4C7" w14:textId="77777777">
            <w:pPr>
              <w:widowControl w:val="0"/>
              <w:numPr>
                <w:ilvl w:val="0"/>
                <w:numId w:val="5"/>
              </w:numPr>
              <w:bidi w:val="0"/>
              <w:spacing w:line="276" w:lineRule="auto"/>
              <w:contextualSpacing/>
              <w:rPr>
                <w:color w:val="333333"/>
                <w:sz w:val="22"/>
                <w:szCs w:val="22"/>
                <w:highlight w:val="white"/>
              </w:rPr>
            </w:pPr>
            <w:r>
              <w:rPr>
                <w:color w:val="333333"/>
                <w:sz w:val="22"/>
                <w:szCs w:val="22"/>
                <w:highlight w:val="white"/>
                <w:rtl w:val="0"/>
                <w:lang w:val="fr"/>
              </w:rPr>
              <w:t>Études de cas/Histoires d'intérêt humain</w:t>
            </w:r>
          </w:p>
          <w:p w:rsidR="00976521" w14:paraId="3CD1D4C8" w14:textId="77777777">
            <w:pPr>
              <w:widowControl w:val="0"/>
              <w:numPr>
                <w:ilvl w:val="0"/>
                <w:numId w:val="5"/>
              </w:numPr>
              <w:bidi w:val="0"/>
              <w:spacing w:line="276" w:lineRule="auto"/>
              <w:contextualSpacing/>
              <w:rPr>
                <w:color w:val="333333"/>
                <w:sz w:val="22"/>
                <w:szCs w:val="22"/>
                <w:highlight w:val="white"/>
              </w:rPr>
            </w:pPr>
            <w:r>
              <w:rPr>
                <w:color w:val="333333"/>
                <w:sz w:val="22"/>
                <w:szCs w:val="22"/>
                <w:highlight w:val="white"/>
                <w:rtl w:val="0"/>
                <w:lang w:val="fr"/>
              </w:rPr>
              <w:t>Études d'impact</w:t>
            </w:r>
          </w:p>
          <w:p w:rsidR="00976521" w14:paraId="3CD1D4C9" w14:textId="77777777">
            <w:pPr>
              <w:widowControl w:val="0"/>
              <w:numPr>
                <w:ilvl w:val="0"/>
                <w:numId w:val="5"/>
              </w:numPr>
              <w:bidi w:val="0"/>
              <w:spacing w:line="276" w:lineRule="auto"/>
              <w:contextualSpacing/>
              <w:rPr>
                <w:color w:val="333333"/>
                <w:sz w:val="22"/>
                <w:szCs w:val="22"/>
                <w:highlight w:val="white"/>
              </w:rPr>
            </w:pPr>
            <w:r>
              <w:rPr>
                <w:color w:val="333333"/>
                <w:sz w:val="22"/>
                <w:szCs w:val="22"/>
                <w:highlight w:val="white"/>
                <w:rtl w:val="0"/>
                <w:lang w:val="fr"/>
              </w:rPr>
              <w:t>Évaluation du programme</w:t>
            </w:r>
          </w:p>
          <w:p w:rsidR="00976521" w14:paraId="3CD1D4CA" w14:textId="77777777">
            <w:pPr>
              <w:widowControl w:val="0"/>
              <w:numPr>
                <w:ilvl w:val="0"/>
                <w:numId w:val="5"/>
              </w:numPr>
              <w:bidi w:val="0"/>
              <w:spacing w:after="120" w:line="276" w:lineRule="auto"/>
              <w:contextualSpacing/>
              <w:rPr>
                <w:color w:val="333333"/>
                <w:sz w:val="22"/>
                <w:szCs w:val="22"/>
                <w:highlight w:val="white"/>
              </w:rPr>
            </w:pPr>
            <w:r>
              <w:rPr>
                <w:color w:val="333333"/>
                <w:sz w:val="22"/>
                <w:szCs w:val="22"/>
                <w:highlight w:val="white"/>
                <w:rtl w:val="0"/>
                <w:lang w:val="fr"/>
              </w:rPr>
              <w:t>Analyse de genre</w:t>
            </w:r>
          </w:p>
          <w:p w:rsidR="00976521" w14:paraId="3CD1D4CB" w14:textId="77777777">
            <w:pPr>
              <w:widowControl w:val="0"/>
              <w:bidi w:val="0"/>
              <w:spacing w:line="276" w:lineRule="auto"/>
              <w:rPr>
                <w:color w:val="333333"/>
                <w:sz w:val="22"/>
                <w:szCs w:val="22"/>
                <w:highlight w:val="white"/>
              </w:rPr>
            </w:pPr>
            <w:r>
              <w:rPr>
                <w:color w:val="333333"/>
                <w:sz w:val="22"/>
                <w:szCs w:val="22"/>
                <w:highlight w:val="white"/>
                <w:rtl w:val="0"/>
                <w:lang w:val="fr"/>
              </w:rPr>
              <w:t>Partage des connaissances</w:t>
            </w:r>
          </w:p>
          <w:p w:rsidR="00976521" w14:paraId="3CD1D4CC" w14:textId="77777777">
            <w:pPr>
              <w:widowControl w:val="0"/>
              <w:numPr>
                <w:ilvl w:val="0"/>
                <w:numId w:val="5"/>
              </w:numPr>
              <w:bidi w:val="0"/>
              <w:spacing w:line="276" w:lineRule="auto"/>
              <w:contextualSpacing/>
              <w:rPr>
                <w:color w:val="333333"/>
                <w:sz w:val="22"/>
                <w:szCs w:val="22"/>
                <w:highlight w:val="white"/>
              </w:rPr>
            </w:pPr>
            <w:r>
              <w:rPr>
                <w:color w:val="333333"/>
                <w:sz w:val="22"/>
                <w:szCs w:val="22"/>
                <w:highlight w:val="white"/>
                <w:rtl w:val="0"/>
                <w:lang w:val="fr"/>
              </w:rPr>
              <w:t>Formation technique</w:t>
            </w:r>
          </w:p>
          <w:p w:rsidR="00976521" w14:paraId="3CD1D4CD" w14:textId="77777777">
            <w:pPr>
              <w:widowControl w:val="0"/>
              <w:numPr>
                <w:ilvl w:val="0"/>
                <w:numId w:val="5"/>
              </w:numPr>
              <w:bidi w:val="0"/>
              <w:spacing w:line="276" w:lineRule="auto"/>
              <w:contextualSpacing/>
              <w:rPr>
                <w:color w:val="333333"/>
                <w:sz w:val="22"/>
                <w:szCs w:val="22"/>
                <w:highlight w:val="white"/>
              </w:rPr>
            </w:pPr>
            <w:r>
              <w:rPr>
                <w:color w:val="333333"/>
                <w:sz w:val="22"/>
                <w:szCs w:val="22"/>
                <w:highlight w:val="white"/>
                <w:rtl w:val="0"/>
                <w:lang w:val="fr"/>
              </w:rPr>
              <w:t>Visites croisées/apprentissage par les pairs</w:t>
            </w:r>
          </w:p>
          <w:p w:rsidR="00976521" w14:paraId="3CD1D4CE" w14:textId="77777777">
            <w:pPr>
              <w:widowControl w:val="0"/>
              <w:numPr>
                <w:ilvl w:val="0"/>
                <w:numId w:val="5"/>
              </w:numPr>
              <w:bidi w:val="0"/>
              <w:spacing w:line="276" w:lineRule="auto"/>
              <w:contextualSpacing/>
              <w:rPr>
                <w:color w:val="333333"/>
                <w:sz w:val="22"/>
                <w:szCs w:val="22"/>
                <w:highlight w:val="white"/>
              </w:rPr>
            </w:pPr>
            <w:r>
              <w:rPr>
                <w:color w:val="333333"/>
                <w:sz w:val="22"/>
                <w:szCs w:val="22"/>
                <w:highlight w:val="white"/>
                <w:rtl w:val="0"/>
                <w:lang w:val="fr"/>
              </w:rPr>
              <w:t>Bulletin d'information</w:t>
            </w:r>
          </w:p>
          <w:p w:rsidR="00976521" w14:paraId="3CD1D4CF" w14:textId="77777777">
            <w:pPr>
              <w:widowControl w:val="0"/>
              <w:numPr>
                <w:ilvl w:val="0"/>
                <w:numId w:val="5"/>
              </w:numPr>
              <w:bidi w:val="0"/>
              <w:spacing w:line="276" w:lineRule="auto"/>
              <w:contextualSpacing/>
              <w:rPr>
                <w:color w:val="333333"/>
                <w:sz w:val="22"/>
                <w:szCs w:val="22"/>
                <w:highlight w:val="white"/>
              </w:rPr>
            </w:pPr>
            <w:r>
              <w:rPr>
                <w:color w:val="333333"/>
                <w:sz w:val="22"/>
                <w:szCs w:val="22"/>
                <w:highlight w:val="white"/>
                <w:rtl w:val="0"/>
                <w:lang w:val="fr"/>
              </w:rPr>
              <w:t>Plateformes d'apprentissage et de partage</w:t>
            </w:r>
          </w:p>
          <w:p w:rsidR="00976521" w14:paraId="3CD1D4D0" w14:textId="77777777">
            <w:pPr>
              <w:widowControl w:val="0"/>
              <w:numPr>
                <w:ilvl w:val="0"/>
                <w:numId w:val="5"/>
              </w:numPr>
              <w:bidi w:val="0"/>
              <w:spacing w:after="120" w:line="276" w:lineRule="auto"/>
              <w:contextualSpacing/>
              <w:rPr>
                <w:color w:val="333333"/>
                <w:sz w:val="22"/>
                <w:szCs w:val="22"/>
                <w:highlight w:val="white"/>
              </w:rPr>
            </w:pPr>
            <w:r>
              <w:rPr>
                <w:color w:val="333333"/>
                <w:sz w:val="22"/>
                <w:szCs w:val="22"/>
                <w:highlight w:val="white"/>
                <w:rtl w:val="0"/>
                <w:lang w:val="fr"/>
              </w:rPr>
              <w:t>Groupes de courriels et directives</w:t>
            </w:r>
          </w:p>
          <w:p w:rsidR="00976521" w14:paraId="3CD1D4D1" w14:textId="77777777">
            <w:pPr>
              <w:widowControl w:val="0"/>
              <w:bidi w:val="0"/>
              <w:spacing w:line="276" w:lineRule="auto"/>
              <w:rPr>
                <w:sz w:val="22"/>
                <w:szCs w:val="22"/>
              </w:rPr>
            </w:pPr>
            <w:r>
              <w:rPr>
                <w:sz w:val="22"/>
                <w:szCs w:val="22"/>
                <w:rtl w:val="0"/>
                <w:lang w:val="fr"/>
              </w:rPr>
              <w:t>Génération et synthèse des connaissances</w:t>
            </w:r>
          </w:p>
          <w:p w:rsidR="00976521" w14:paraId="3CD1D4D2" w14:textId="77777777">
            <w:pPr>
              <w:widowControl w:val="0"/>
              <w:numPr>
                <w:ilvl w:val="0"/>
                <w:numId w:val="5"/>
              </w:numPr>
              <w:bidi w:val="0"/>
              <w:spacing w:line="276" w:lineRule="auto"/>
              <w:contextualSpacing/>
              <w:rPr>
                <w:color w:val="333333"/>
                <w:sz w:val="22"/>
                <w:szCs w:val="22"/>
                <w:highlight w:val="white"/>
              </w:rPr>
            </w:pPr>
            <w:r>
              <w:rPr>
                <w:color w:val="333333"/>
                <w:sz w:val="22"/>
                <w:szCs w:val="22"/>
                <w:highlight w:val="white"/>
                <w:rtl w:val="0"/>
                <w:lang w:val="fr"/>
              </w:rPr>
              <w:t>Comment guider</w:t>
            </w:r>
          </w:p>
          <w:p w:rsidR="00976521" w14:paraId="3CD1D4D3" w14:textId="77777777">
            <w:pPr>
              <w:widowControl w:val="0"/>
              <w:numPr>
                <w:ilvl w:val="0"/>
                <w:numId w:val="5"/>
              </w:numPr>
              <w:bidi w:val="0"/>
              <w:spacing w:line="276" w:lineRule="auto"/>
              <w:contextualSpacing/>
              <w:rPr>
                <w:color w:val="333333"/>
                <w:sz w:val="22"/>
                <w:szCs w:val="22"/>
                <w:highlight w:val="white"/>
              </w:rPr>
            </w:pPr>
            <w:r>
              <w:rPr>
                <w:color w:val="333333"/>
                <w:sz w:val="22"/>
                <w:szCs w:val="22"/>
                <w:highlight w:val="white"/>
                <w:rtl w:val="0"/>
                <w:lang w:val="fr"/>
              </w:rPr>
              <w:t>Classement du village</w:t>
            </w:r>
          </w:p>
          <w:p w:rsidR="00976521" w14:paraId="3CD1D4D4" w14:textId="77777777">
            <w:pPr>
              <w:widowControl w:val="0"/>
              <w:numPr>
                <w:ilvl w:val="0"/>
                <w:numId w:val="5"/>
              </w:numPr>
              <w:bidi w:val="0"/>
              <w:spacing w:after="120" w:line="276" w:lineRule="auto"/>
              <w:contextualSpacing/>
              <w:rPr>
                <w:sz w:val="22"/>
                <w:szCs w:val="22"/>
              </w:rPr>
            </w:pPr>
            <w:r>
              <w:rPr>
                <w:color w:val="333333"/>
                <w:sz w:val="22"/>
                <w:szCs w:val="22"/>
                <w:highlight w:val="white"/>
                <w:rtl w:val="0"/>
                <w:lang w:val="fr"/>
              </w:rPr>
              <w:t>Système de suivi et d'évaluation</w:t>
            </w:r>
          </w:p>
        </w:tc>
      </w:tr>
      <w:tr w14:paraId="3CD1D4DD" w14:textId="77777777">
        <w:tblPrEx>
          <w:tblW w:w="9576" w:type="dxa"/>
          <w:tblLayout w:type="fixed"/>
          <w:tblLook w:val="0400"/>
        </w:tblPrEx>
        <w:tc>
          <w:tcPr>
            <w:tcW w:w="1908" w:type="dxa"/>
          </w:tcPr>
          <w:p w:rsidR="00976521" w14:paraId="3CD1D4D6" w14:textId="77777777">
            <w:pPr>
              <w:widowControl w:val="0"/>
              <w:bidi w:val="0"/>
              <w:spacing w:line="276" w:lineRule="auto"/>
              <w:rPr>
                <w:color w:val="333333"/>
                <w:sz w:val="22"/>
                <w:szCs w:val="22"/>
              </w:rPr>
            </w:pPr>
            <w:r>
              <w:rPr>
                <w:color w:val="333333"/>
                <w:sz w:val="22"/>
                <w:szCs w:val="22"/>
                <w:rtl w:val="0"/>
                <w:lang w:val="fr"/>
              </w:rPr>
              <w:t xml:space="preserve">Soutien aux TIC </w:t>
            </w:r>
          </w:p>
          <w:p w:rsidR="00976521" w14:paraId="3CD1D4D7" w14:textId="77777777">
            <w:pPr>
              <w:widowControl w:val="0"/>
              <w:spacing w:line="276" w:lineRule="auto"/>
              <w:rPr>
                <w:color w:val="333333"/>
                <w:sz w:val="22"/>
                <w:szCs w:val="22"/>
              </w:rPr>
            </w:pPr>
            <w:r>
              <w:rPr>
                <w:color w:val="333333"/>
                <w:sz w:val="22"/>
                <w:szCs w:val="22"/>
              </w:rPr>
              <w:t xml:space="preserve"> </w:t>
            </w:r>
          </w:p>
        </w:tc>
        <w:tc>
          <w:tcPr>
            <w:tcW w:w="7668" w:type="dxa"/>
          </w:tcPr>
          <w:p w:rsidR="00976521" w14:paraId="3CD1D4D8" w14:textId="77777777">
            <w:pPr>
              <w:bidi w:val="0"/>
              <w:rPr>
                <w:color w:val="333333"/>
                <w:sz w:val="22"/>
                <w:szCs w:val="22"/>
              </w:rPr>
            </w:pPr>
            <w:r>
              <w:rPr>
                <w:color w:val="333333"/>
                <w:sz w:val="22"/>
                <w:szCs w:val="22"/>
                <w:rtl w:val="0"/>
                <w:lang w:val="fr"/>
              </w:rPr>
              <w:t xml:space="preserve">Lecteur réseau partagé : Le personnel de gestion et de programme de CARE Bangladesh et de SHOUHARDO II a accès à l'I-drive existant (lecteur de réseau partagé), qui stocke et catégorise les informations existantes sur le programme. Le système permet aux membres du personnel de récupérer les connaissances existantes et de partager des informations actualisées dans l'ensemble du programme et de l'organisation. </w:t>
            </w:r>
          </w:p>
          <w:p w:rsidR="00976521" w14:paraId="3CD1D4D9" w14:textId="77777777">
            <w:pPr>
              <w:rPr>
                <w:color w:val="333333"/>
                <w:sz w:val="22"/>
                <w:szCs w:val="22"/>
              </w:rPr>
            </w:pPr>
          </w:p>
          <w:p w:rsidR="00976521" w14:paraId="3CD1D4DA" w14:textId="77777777">
            <w:pPr>
              <w:bidi w:val="0"/>
              <w:rPr>
                <w:color w:val="333333"/>
                <w:sz w:val="22"/>
                <w:szCs w:val="22"/>
              </w:rPr>
            </w:pPr>
            <w:r>
              <w:rPr>
                <w:color w:val="333333"/>
                <w:sz w:val="22"/>
                <w:szCs w:val="22"/>
                <w:rtl w:val="0"/>
                <w:lang w:val="fr"/>
              </w:rPr>
              <w:t xml:space="preserve">Site Web : SHOUHARDO II gère un site Web externe (www.carebangladesh.org/shouhardoII/), qui stocke et diffuse des informations. </w:t>
            </w:r>
          </w:p>
          <w:p w:rsidR="00976521" w14:paraId="3CD1D4DB" w14:textId="77777777">
            <w:pPr>
              <w:rPr>
                <w:color w:val="333333"/>
                <w:sz w:val="22"/>
                <w:szCs w:val="22"/>
              </w:rPr>
            </w:pPr>
          </w:p>
          <w:p w:rsidR="00976521" w14:paraId="3CD1D4DC" w14:textId="77777777">
            <w:pPr>
              <w:bidi w:val="0"/>
              <w:rPr>
                <w:color w:val="333333"/>
                <w:sz w:val="22"/>
                <w:szCs w:val="22"/>
              </w:rPr>
            </w:pPr>
            <w:r>
              <w:rPr>
                <w:color w:val="333333"/>
                <w:sz w:val="22"/>
                <w:szCs w:val="22"/>
                <w:rtl w:val="0"/>
                <w:lang w:val="fr"/>
              </w:rPr>
              <w:t>Le système de suivi et d'évaluation de SHOUHARDO II : Pour surveiller les progrès et suivre les résultats et l'impact, des données quantitatives et des informations qualitatives sont collectées sur les indicateurs du tableau de suivi des performances, le plan opérationnel (PO) et le questionnaire annuel normalisé sur les performances (SAPQ) - mensuellement, trimestriellement et annuellement (selon le type d'indicateur), à partir d'un échantillon statistiquement significatif dans chaque région.</w:t>
            </w:r>
          </w:p>
        </w:tc>
      </w:tr>
      <w:tr w14:paraId="3CD1D4E1" w14:textId="77777777">
        <w:tblPrEx>
          <w:tblW w:w="9576" w:type="dxa"/>
          <w:tblLayout w:type="fixed"/>
          <w:tblLook w:val="0400"/>
        </w:tblPrEx>
        <w:tc>
          <w:tcPr>
            <w:tcW w:w="1908" w:type="dxa"/>
          </w:tcPr>
          <w:p w:rsidR="00976521" w14:paraId="3CD1D4DE" w14:textId="77777777">
            <w:pPr>
              <w:widowControl w:val="0"/>
              <w:bidi w:val="0"/>
              <w:spacing w:line="276" w:lineRule="auto"/>
              <w:rPr>
                <w:color w:val="333333"/>
                <w:sz w:val="22"/>
                <w:szCs w:val="22"/>
                <w:highlight w:val="white"/>
              </w:rPr>
            </w:pPr>
            <w:r>
              <w:rPr>
                <w:color w:val="333333"/>
                <w:sz w:val="22"/>
                <w:szCs w:val="22"/>
                <w:highlight w:val="white"/>
                <w:rtl w:val="0"/>
                <w:lang w:val="fr"/>
              </w:rPr>
              <w:t>Assurer la durabilité</w:t>
            </w:r>
          </w:p>
          <w:p w:rsidR="00976521" w14:paraId="3CD1D4DF" w14:textId="77777777">
            <w:pPr>
              <w:widowControl w:val="0"/>
              <w:spacing w:line="276" w:lineRule="auto"/>
              <w:rPr>
                <w:color w:val="333333"/>
                <w:sz w:val="22"/>
                <w:szCs w:val="22"/>
                <w:highlight w:val="white"/>
              </w:rPr>
            </w:pPr>
          </w:p>
        </w:tc>
        <w:tc>
          <w:tcPr>
            <w:tcW w:w="7668" w:type="dxa"/>
          </w:tcPr>
          <w:p w:rsidR="00976521" w14:paraId="3CD1D4E0" w14:textId="77777777">
            <w:pPr>
              <w:widowControl w:val="0"/>
              <w:bidi w:val="0"/>
              <w:spacing w:line="276" w:lineRule="auto"/>
              <w:rPr>
                <w:sz w:val="22"/>
                <w:szCs w:val="22"/>
              </w:rPr>
            </w:pPr>
            <w:r>
              <w:rPr>
                <w:sz w:val="22"/>
                <w:szCs w:val="22"/>
                <w:rtl w:val="0"/>
                <w:lang w:val="fr"/>
              </w:rPr>
              <w:t>N/A</w:t>
            </w:r>
          </w:p>
        </w:tc>
      </w:tr>
    </w:tbl>
    <w:p w:rsidR="00976521" w14:paraId="3CD1D4E2" w14:textId="77777777">
      <w:pPr>
        <w:widowControl w:val="0"/>
        <w:spacing w:after="0" w:line="276" w:lineRule="auto"/>
      </w:pPr>
    </w:p>
    <w:p w:rsidR="00976521" w14:paraId="3CD1D4E3" w14:textId="77777777">
      <w:pPr>
        <w:rPr>
          <w:b/>
          <w:sz w:val="40"/>
          <w:szCs w:val="40"/>
        </w:rPr>
      </w:pPr>
      <w:r>
        <w:br w:type="page"/>
      </w:r>
    </w:p>
    <w:p w:rsidR="00976521" w14:paraId="3CD1D4E4" w14:textId="77777777">
      <w:pPr>
        <w:pStyle w:val="Heading2"/>
        <w:keepNext w:val="0"/>
        <w:keepLines w:val="0"/>
        <w:widowControl w:val="0"/>
        <w:bidi w:val="0"/>
        <w:spacing w:after="0"/>
        <w:rPr>
          <w:sz w:val="40"/>
          <w:szCs w:val="40"/>
        </w:rPr>
      </w:pPr>
      <w:r>
        <w:rPr>
          <w:sz w:val="40"/>
          <w:szCs w:val="40"/>
          <w:rtl w:val="0"/>
          <w:lang w:val="fr"/>
        </w:rPr>
        <w:t>Feuille de travail</w:t>
      </w:r>
    </w:p>
    <w:p w:rsidR="00976521" w:rsidRPr="00717556" w14:paraId="3CD1D4E5" w14:textId="77777777">
      <w:pPr>
        <w:widowControl w:val="0"/>
        <w:spacing w:after="0" w:line="276" w:lineRule="auto"/>
        <w:rPr>
          <w:sz w:val="20"/>
          <w:szCs w:val="20"/>
        </w:rPr>
      </w:pPr>
    </w:p>
    <w:p w:rsidR="00976521" w14:paraId="3CD1D4E6" w14:textId="77777777">
      <w:pPr>
        <w:widowControl w:val="0"/>
        <w:bidi w:val="0"/>
        <w:spacing w:after="0" w:line="276" w:lineRule="auto"/>
      </w:pPr>
      <w:r>
        <w:rPr>
          <w:rtl w:val="0"/>
          <w:lang w:val="fr"/>
        </w:rPr>
        <w:t>Utilisez la feuille de travail ci-dessous pour vous guider dans le processus initial GC.</w:t>
      </w:r>
    </w:p>
    <w:tbl>
      <w:tblPr>
        <w:tblStyle w:val="a0"/>
        <w:tblW w:w="9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945"/>
        <w:gridCol w:w="1681"/>
        <w:gridCol w:w="1714"/>
        <w:gridCol w:w="3251"/>
      </w:tblGrid>
      <w:tr w14:paraId="3CD1D4EB" w14:textId="77777777" w:rsidTr="00717556">
        <w:tblPrEx>
          <w:tblW w:w="95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Ex>
        <w:trPr>
          <w:trHeight w:val="897"/>
        </w:trPr>
        <w:tc>
          <w:tcPr>
            <w:tcW w:w="2945" w:type="dxa"/>
          </w:tcPr>
          <w:p w:rsidR="00976521" w14:paraId="3CD1D4E7" w14:textId="77777777">
            <w:pPr>
              <w:widowControl w:val="0"/>
              <w:bidi w:val="0"/>
              <w:spacing w:line="276" w:lineRule="auto"/>
              <w:jc w:val="center"/>
              <w:rPr>
                <w:b/>
              </w:rPr>
            </w:pPr>
            <w:r>
              <w:rPr>
                <w:b/>
                <w:rtl w:val="0"/>
                <w:lang w:val="fr"/>
              </w:rPr>
              <w:t>Composante</w:t>
            </w:r>
          </w:p>
        </w:tc>
        <w:tc>
          <w:tcPr>
            <w:tcW w:w="1681" w:type="dxa"/>
          </w:tcPr>
          <w:p w:rsidR="00976521" w14:paraId="3CD1D4E8" w14:textId="77777777">
            <w:pPr>
              <w:widowControl w:val="0"/>
              <w:bidi w:val="0"/>
              <w:spacing w:line="276" w:lineRule="auto"/>
              <w:jc w:val="center"/>
              <w:rPr>
                <w:b/>
              </w:rPr>
            </w:pPr>
            <w:r>
              <w:rPr>
                <w:b/>
                <w:rtl w:val="0"/>
                <w:lang w:val="fr"/>
              </w:rPr>
              <w:t>Notes tirées d'exemples de stratégies de gestion des connaissances</w:t>
            </w:r>
          </w:p>
        </w:tc>
        <w:tc>
          <w:tcPr>
            <w:tcW w:w="1714" w:type="dxa"/>
          </w:tcPr>
          <w:p w:rsidR="00976521" w14:paraId="3CD1D4E9" w14:textId="77777777">
            <w:pPr>
              <w:widowControl w:val="0"/>
              <w:bidi w:val="0"/>
              <w:spacing w:line="276" w:lineRule="auto"/>
              <w:jc w:val="center"/>
              <w:rPr>
                <w:b/>
              </w:rPr>
            </w:pPr>
            <w:r>
              <w:rPr>
                <w:b/>
                <w:rtl w:val="0"/>
                <w:lang w:val="fr"/>
              </w:rPr>
              <w:t>Des idées pour votre stratégie de GC</w:t>
            </w:r>
          </w:p>
        </w:tc>
        <w:tc>
          <w:tcPr>
            <w:tcW w:w="3251" w:type="dxa"/>
          </w:tcPr>
          <w:p w:rsidR="00976521" w14:paraId="3CD1D4EA" w14:textId="77777777">
            <w:pPr>
              <w:widowControl w:val="0"/>
              <w:bidi w:val="0"/>
              <w:spacing w:line="276" w:lineRule="auto"/>
              <w:jc w:val="center"/>
              <w:rPr>
                <w:b/>
              </w:rPr>
            </w:pPr>
            <w:r>
              <w:rPr>
                <w:b/>
                <w:rtl w:val="0"/>
                <w:lang w:val="fr"/>
              </w:rPr>
              <w:t>Domaines à revoir (via des documents ou des collègues)</w:t>
            </w:r>
          </w:p>
        </w:tc>
      </w:tr>
      <w:tr w14:paraId="3CD1D4F0" w14:textId="77777777" w:rsidTr="00717556">
        <w:tblPrEx>
          <w:tblW w:w="9591" w:type="dxa"/>
          <w:tblLayout w:type="fixed"/>
          <w:tblLook w:val="0400"/>
        </w:tblPrEx>
        <w:trPr>
          <w:trHeight w:val="821"/>
        </w:trPr>
        <w:tc>
          <w:tcPr>
            <w:tcW w:w="2945" w:type="dxa"/>
          </w:tcPr>
          <w:p w:rsidR="00976521" w14:paraId="3CD1D4EC" w14:textId="77777777">
            <w:pPr>
              <w:widowControl w:val="0"/>
              <w:bidi w:val="0"/>
              <w:spacing w:line="276" w:lineRule="auto"/>
              <w:rPr>
                <w:color w:val="333333"/>
                <w:sz w:val="22"/>
                <w:szCs w:val="22"/>
                <w:highlight w:val="white"/>
              </w:rPr>
            </w:pPr>
            <w:r>
              <w:rPr>
                <w:color w:val="333333"/>
                <w:sz w:val="22"/>
                <w:szCs w:val="22"/>
                <w:highlight w:val="white"/>
                <w:rtl w:val="0"/>
                <w:lang w:val="fr"/>
              </w:rPr>
              <w:t>Alignement sur la mission générale de l'activité, du projet ou de l'organisation.</w:t>
            </w:r>
          </w:p>
        </w:tc>
        <w:tc>
          <w:tcPr>
            <w:tcW w:w="1681" w:type="dxa"/>
          </w:tcPr>
          <w:p w:rsidR="00976521" w14:paraId="3CD1D4ED" w14:textId="77777777">
            <w:pPr>
              <w:widowControl w:val="0"/>
              <w:spacing w:line="276" w:lineRule="auto"/>
              <w:rPr>
                <w:sz w:val="22"/>
                <w:szCs w:val="22"/>
              </w:rPr>
            </w:pPr>
          </w:p>
        </w:tc>
        <w:tc>
          <w:tcPr>
            <w:tcW w:w="1714" w:type="dxa"/>
          </w:tcPr>
          <w:p w:rsidR="00976521" w14:paraId="3CD1D4EE" w14:textId="77777777">
            <w:pPr>
              <w:widowControl w:val="0"/>
              <w:spacing w:line="276" w:lineRule="auto"/>
              <w:rPr>
                <w:sz w:val="22"/>
                <w:szCs w:val="22"/>
              </w:rPr>
            </w:pPr>
          </w:p>
        </w:tc>
        <w:tc>
          <w:tcPr>
            <w:tcW w:w="3251" w:type="dxa"/>
          </w:tcPr>
          <w:p w:rsidR="00976521" w14:paraId="3CD1D4EF" w14:textId="77777777">
            <w:pPr>
              <w:widowControl w:val="0"/>
              <w:spacing w:line="276" w:lineRule="auto"/>
              <w:rPr>
                <w:sz w:val="22"/>
                <w:szCs w:val="22"/>
              </w:rPr>
            </w:pPr>
          </w:p>
        </w:tc>
      </w:tr>
      <w:tr w14:paraId="3CD1D4F7" w14:textId="77777777" w:rsidTr="00717556">
        <w:tblPrEx>
          <w:tblW w:w="9591" w:type="dxa"/>
          <w:tblLayout w:type="fixed"/>
          <w:tblLook w:val="0400"/>
        </w:tblPrEx>
        <w:trPr>
          <w:trHeight w:val="831"/>
        </w:trPr>
        <w:tc>
          <w:tcPr>
            <w:tcW w:w="2945" w:type="dxa"/>
          </w:tcPr>
          <w:p w:rsidR="00976521" w14:paraId="3CD1D4F1" w14:textId="77777777">
            <w:pPr>
              <w:widowControl w:val="0"/>
              <w:bidi w:val="0"/>
              <w:spacing w:line="276" w:lineRule="auto"/>
              <w:rPr>
                <w:color w:val="333333"/>
                <w:sz w:val="22"/>
                <w:szCs w:val="22"/>
              </w:rPr>
            </w:pPr>
            <w:r>
              <w:rPr>
                <w:color w:val="333333"/>
                <w:sz w:val="22"/>
                <w:szCs w:val="22"/>
                <w:rtl w:val="0"/>
                <w:lang w:val="fr"/>
              </w:rPr>
              <w:t>Soutenir les parties prenantes</w:t>
            </w:r>
          </w:p>
          <w:p w:rsidR="00976521" w14:paraId="3CD1D4F2" w14:textId="77777777">
            <w:pPr>
              <w:widowControl w:val="0"/>
              <w:spacing w:line="276" w:lineRule="auto"/>
              <w:rPr>
                <w:color w:val="333333"/>
                <w:sz w:val="22"/>
                <w:szCs w:val="22"/>
                <w:highlight w:val="white"/>
              </w:rPr>
            </w:pPr>
          </w:p>
          <w:p w:rsidR="00976521" w14:paraId="3CD1D4F3" w14:textId="77777777">
            <w:pPr>
              <w:widowControl w:val="0"/>
              <w:spacing w:line="276" w:lineRule="auto"/>
              <w:rPr>
                <w:color w:val="333333"/>
                <w:sz w:val="22"/>
                <w:szCs w:val="22"/>
                <w:highlight w:val="white"/>
              </w:rPr>
            </w:pPr>
          </w:p>
        </w:tc>
        <w:tc>
          <w:tcPr>
            <w:tcW w:w="1681" w:type="dxa"/>
          </w:tcPr>
          <w:p w:rsidR="00976521" w14:paraId="3CD1D4F4" w14:textId="77777777">
            <w:pPr>
              <w:widowControl w:val="0"/>
              <w:spacing w:line="276" w:lineRule="auto"/>
              <w:rPr>
                <w:sz w:val="22"/>
                <w:szCs w:val="22"/>
              </w:rPr>
            </w:pPr>
          </w:p>
        </w:tc>
        <w:tc>
          <w:tcPr>
            <w:tcW w:w="1714" w:type="dxa"/>
          </w:tcPr>
          <w:p w:rsidR="00976521" w14:paraId="3CD1D4F5" w14:textId="77777777">
            <w:pPr>
              <w:widowControl w:val="0"/>
              <w:spacing w:line="276" w:lineRule="auto"/>
              <w:rPr>
                <w:sz w:val="22"/>
                <w:szCs w:val="22"/>
              </w:rPr>
            </w:pPr>
          </w:p>
        </w:tc>
        <w:tc>
          <w:tcPr>
            <w:tcW w:w="3251" w:type="dxa"/>
          </w:tcPr>
          <w:p w:rsidR="00976521" w14:paraId="3CD1D4F6" w14:textId="77777777">
            <w:pPr>
              <w:widowControl w:val="0"/>
              <w:spacing w:line="276" w:lineRule="auto"/>
              <w:rPr>
                <w:sz w:val="22"/>
                <w:szCs w:val="22"/>
              </w:rPr>
            </w:pPr>
          </w:p>
        </w:tc>
      </w:tr>
      <w:tr w14:paraId="3CD1D4FE" w14:textId="77777777" w:rsidTr="00717556">
        <w:tblPrEx>
          <w:tblW w:w="9591" w:type="dxa"/>
          <w:tblLayout w:type="fixed"/>
          <w:tblLook w:val="0400"/>
        </w:tblPrEx>
        <w:trPr>
          <w:trHeight w:val="821"/>
        </w:trPr>
        <w:tc>
          <w:tcPr>
            <w:tcW w:w="2945" w:type="dxa"/>
          </w:tcPr>
          <w:p w:rsidR="00976521" w14:paraId="3CD1D4F8" w14:textId="77777777">
            <w:pPr>
              <w:widowControl w:val="0"/>
              <w:bidi w:val="0"/>
              <w:spacing w:line="276" w:lineRule="auto"/>
              <w:rPr>
                <w:color w:val="333333"/>
                <w:sz w:val="22"/>
                <w:szCs w:val="22"/>
                <w:highlight w:val="white"/>
              </w:rPr>
            </w:pPr>
            <w:r>
              <w:rPr>
                <w:color w:val="333333"/>
                <w:sz w:val="22"/>
                <w:szCs w:val="22"/>
                <w:highlight w:val="white"/>
                <w:rtl w:val="0"/>
                <w:lang w:val="fr"/>
              </w:rPr>
              <w:t>Public(s)</w:t>
            </w:r>
          </w:p>
          <w:p w:rsidR="00976521" w14:paraId="3CD1D4F9" w14:textId="77777777">
            <w:pPr>
              <w:widowControl w:val="0"/>
              <w:spacing w:line="276" w:lineRule="auto"/>
              <w:rPr>
                <w:color w:val="333333"/>
                <w:sz w:val="22"/>
                <w:szCs w:val="22"/>
                <w:highlight w:val="white"/>
              </w:rPr>
            </w:pPr>
          </w:p>
          <w:p w:rsidR="00976521" w14:paraId="3CD1D4FA" w14:textId="77777777">
            <w:pPr>
              <w:widowControl w:val="0"/>
              <w:spacing w:line="276" w:lineRule="auto"/>
              <w:rPr>
                <w:color w:val="333333"/>
                <w:sz w:val="22"/>
                <w:szCs w:val="22"/>
                <w:highlight w:val="white"/>
              </w:rPr>
            </w:pPr>
          </w:p>
        </w:tc>
        <w:tc>
          <w:tcPr>
            <w:tcW w:w="1681" w:type="dxa"/>
          </w:tcPr>
          <w:p w:rsidR="00976521" w14:paraId="3CD1D4FB" w14:textId="77777777">
            <w:pPr>
              <w:widowControl w:val="0"/>
              <w:spacing w:line="276" w:lineRule="auto"/>
              <w:rPr>
                <w:sz w:val="22"/>
                <w:szCs w:val="22"/>
              </w:rPr>
            </w:pPr>
          </w:p>
        </w:tc>
        <w:tc>
          <w:tcPr>
            <w:tcW w:w="1714" w:type="dxa"/>
          </w:tcPr>
          <w:p w:rsidR="00976521" w14:paraId="3CD1D4FC" w14:textId="77777777">
            <w:pPr>
              <w:widowControl w:val="0"/>
              <w:spacing w:line="276" w:lineRule="auto"/>
              <w:rPr>
                <w:sz w:val="22"/>
                <w:szCs w:val="22"/>
              </w:rPr>
            </w:pPr>
          </w:p>
        </w:tc>
        <w:tc>
          <w:tcPr>
            <w:tcW w:w="3251" w:type="dxa"/>
          </w:tcPr>
          <w:p w:rsidR="00976521" w14:paraId="3CD1D4FD" w14:textId="77777777">
            <w:pPr>
              <w:widowControl w:val="0"/>
              <w:spacing w:line="276" w:lineRule="auto"/>
              <w:rPr>
                <w:sz w:val="22"/>
                <w:szCs w:val="22"/>
              </w:rPr>
            </w:pPr>
          </w:p>
        </w:tc>
      </w:tr>
      <w:tr w14:paraId="3CD1D505" w14:textId="77777777" w:rsidTr="00717556">
        <w:tblPrEx>
          <w:tblW w:w="9591" w:type="dxa"/>
          <w:tblLayout w:type="fixed"/>
          <w:tblLook w:val="0400"/>
        </w:tblPrEx>
        <w:trPr>
          <w:trHeight w:val="821"/>
        </w:trPr>
        <w:tc>
          <w:tcPr>
            <w:tcW w:w="2945" w:type="dxa"/>
          </w:tcPr>
          <w:p w:rsidR="00976521" w14:paraId="3CD1D4FF" w14:textId="77777777">
            <w:pPr>
              <w:widowControl w:val="0"/>
              <w:bidi w:val="0"/>
              <w:spacing w:line="276" w:lineRule="auto"/>
              <w:rPr>
                <w:color w:val="333333"/>
                <w:sz w:val="22"/>
                <w:szCs w:val="22"/>
                <w:highlight w:val="white"/>
              </w:rPr>
            </w:pPr>
            <w:r>
              <w:rPr>
                <w:color w:val="333333"/>
                <w:sz w:val="22"/>
                <w:szCs w:val="22"/>
                <w:highlight w:val="white"/>
                <w:rtl w:val="0"/>
                <w:lang w:val="fr"/>
              </w:rPr>
              <w:t xml:space="preserve">Théorie(s) de soutien </w:t>
            </w:r>
          </w:p>
          <w:p w:rsidR="00976521" w14:paraId="3CD1D500" w14:textId="77777777">
            <w:pPr>
              <w:widowControl w:val="0"/>
              <w:spacing w:line="276" w:lineRule="auto"/>
              <w:rPr>
                <w:color w:val="333333"/>
                <w:sz w:val="22"/>
                <w:szCs w:val="22"/>
                <w:highlight w:val="white"/>
              </w:rPr>
            </w:pPr>
          </w:p>
          <w:p w:rsidR="00976521" w14:paraId="3CD1D501" w14:textId="77777777">
            <w:pPr>
              <w:widowControl w:val="0"/>
              <w:spacing w:line="276" w:lineRule="auto"/>
              <w:rPr>
                <w:color w:val="333333"/>
                <w:sz w:val="22"/>
                <w:szCs w:val="22"/>
                <w:highlight w:val="white"/>
              </w:rPr>
            </w:pPr>
          </w:p>
        </w:tc>
        <w:tc>
          <w:tcPr>
            <w:tcW w:w="1681" w:type="dxa"/>
          </w:tcPr>
          <w:p w:rsidR="00976521" w14:paraId="3CD1D502" w14:textId="77777777">
            <w:pPr>
              <w:widowControl w:val="0"/>
              <w:spacing w:line="276" w:lineRule="auto"/>
              <w:rPr>
                <w:sz w:val="22"/>
                <w:szCs w:val="22"/>
              </w:rPr>
            </w:pPr>
          </w:p>
        </w:tc>
        <w:tc>
          <w:tcPr>
            <w:tcW w:w="1714" w:type="dxa"/>
          </w:tcPr>
          <w:p w:rsidR="00976521" w14:paraId="3CD1D503" w14:textId="77777777">
            <w:pPr>
              <w:widowControl w:val="0"/>
              <w:spacing w:line="276" w:lineRule="auto"/>
              <w:rPr>
                <w:sz w:val="22"/>
                <w:szCs w:val="22"/>
              </w:rPr>
            </w:pPr>
          </w:p>
        </w:tc>
        <w:tc>
          <w:tcPr>
            <w:tcW w:w="3251" w:type="dxa"/>
          </w:tcPr>
          <w:p w:rsidR="00976521" w14:paraId="3CD1D504" w14:textId="77777777">
            <w:pPr>
              <w:widowControl w:val="0"/>
              <w:spacing w:line="276" w:lineRule="auto"/>
              <w:rPr>
                <w:sz w:val="22"/>
                <w:szCs w:val="22"/>
              </w:rPr>
            </w:pPr>
          </w:p>
        </w:tc>
      </w:tr>
      <w:tr w14:paraId="3CD1D50C" w14:textId="77777777" w:rsidTr="00717556">
        <w:tblPrEx>
          <w:tblW w:w="9591" w:type="dxa"/>
          <w:tblLayout w:type="fixed"/>
          <w:tblLook w:val="0400"/>
        </w:tblPrEx>
        <w:trPr>
          <w:trHeight w:val="831"/>
        </w:trPr>
        <w:tc>
          <w:tcPr>
            <w:tcW w:w="2945" w:type="dxa"/>
          </w:tcPr>
          <w:p w:rsidR="00976521" w14:paraId="3CD1D506" w14:textId="77777777">
            <w:pPr>
              <w:widowControl w:val="0"/>
              <w:bidi w:val="0"/>
              <w:spacing w:line="276" w:lineRule="auto"/>
              <w:rPr>
                <w:color w:val="333333"/>
                <w:sz w:val="22"/>
                <w:szCs w:val="22"/>
                <w:highlight w:val="white"/>
              </w:rPr>
            </w:pPr>
            <w:r>
              <w:rPr>
                <w:color w:val="333333"/>
                <w:sz w:val="22"/>
                <w:szCs w:val="22"/>
                <w:highlight w:val="white"/>
                <w:rtl w:val="0"/>
                <w:lang w:val="fr"/>
              </w:rPr>
              <w:t xml:space="preserve">Définition de la GC </w:t>
            </w:r>
          </w:p>
          <w:p w:rsidR="00976521" w14:paraId="3CD1D507" w14:textId="77777777">
            <w:pPr>
              <w:widowControl w:val="0"/>
              <w:spacing w:line="276" w:lineRule="auto"/>
              <w:rPr>
                <w:color w:val="333333"/>
                <w:sz w:val="22"/>
                <w:szCs w:val="22"/>
                <w:highlight w:val="white"/>
              </w:rPr>
            </w:pPr>
          </w:p>
          <w:p w:rsidR="00976521" w14:paraId="3CD1D508" w14:textId="77777777">
            <w:pPr>
              <w:widowControl w:val="0"/>
              <w:spacing w:line="276" w:lineRule="auto"/>
              <w:rPr>
                <w:color w:val="333333"/>
                <w:sz w:val="22"/>
                <w:szCs w:val="22"/>
                <w:highlight w:val="white"/>
              </w:rPr>
            </w:pPr>
          </w:p>
        </w:tc>
        <w:tc>
          <w:tcPr>
            <w:tcW w:w="1681" w:type="dxa"/>
          </w:tcPr>
          <w:p w:rsidR="00976521" w14:paraId="3CD1D509" w14:textId="77777777">
            <w:pPr>
              <w:widowControl w:val="0"/>
              <w:spacing w:line="276" w:lineRule="auto"/>
              <w:rPr>
                <w:sz w:val="22"/>
                <w:szCs w:val="22"/>
              </w:rPr>
            </w:pPr>
          </w:p>
        </w:tc>
        <w:tc>
          <w:tcPr>
            <w:tcW w:w="1714" w:type="dxa"/>
          </w:tcPr>
          <w:p w:rsidR="00976521" w14:paraId="3CD1D50A" w14:textId="77777777">
            <w:pPr>
              <w:widowControl w:val="0"/>
              <w:spacing w:line="276" w:lineRule="auto"/>
              <w:rPr>
                <w:sz w:val="22"/>
                <w:szCs w:val="22"/>
              </w:rPr>
            </w:pPr>
          </w:p>
        </w:tc>
        <w:tc>
          <w:tcPr>
            <w:tcW w:w="3251" w:type="dxa"/>
          </w:tcPr>
          <w:p w:rsidR="00976521" w14:paraId="3CD1D50B" w14:textId="77777777">
            <w:pPr>
              <w:widowControl w:val="0"/>
              <w:spacing w:line="276" w:lineRule="auto"/>
              <w:rPr>
                <w:sz w:val="22"/>
                <w:szCs w:val="22"/>
              </w:rPr>
            </w:pPr>
          </w:p>
        </w:tc>
      </w:tr>
      <w:tr w14:paraId="3CD1D513" w14:textId="77777777" w:rsidTr="00717556">
        <w:tblPrEx>
          <w:tblW w:w="9591" w:type="dxa"/>
          <w:tblLayout w:type="fixed"/>
          <w:tblLook w:val="0400"/>
        </w:tblPrEx>
        <w:trPr>
          <w:trHeight w:val="821"/>
        </w:trPr>
        <w:tc>
          <w:tcPr>
            <w:tcW w:w="2945" w:type="dxa"/>
          </w:tcPr>
          <w:p w:rsidR="00976521" w14:paraId="3CD1D50D" w14:textId="77777777">
            <w:pPr>
              <w:widowControl w:val="0"/>
              <w:bidi w:val="0"/>
              <w:spacing w:line="276" w:lineRule="auto"/>
              <w:rPr>
                <w:color w:val="333333"/>
                <w:sz w:val="22"/>
                <w:szCs w:val="22"/>
                <w:highlight w:val="white"/>
              </w:rPr>
            </w:pPr>
            <w:r>
              <w:rPr>
                <w:color w:val="333333"/>
                <w:sz w:val="22"/>
                <w:szCs w:val="22"/>
                <w:highlight w:val="white"/>
                <w:rtl w:val="0"/>
                <w:lang w:val="fr"/>
              </w:rPr>
              <w:t>Objectifs SMART</w:t>
            </w:r>
          </w:p>
          <w:p w:rsidR="00976521" w14:paraId="3CD1D50E" w14:textId="77777777">
            <w:pPr>
              <w:widowControl w:val="0"/>
              <w:spacing w:line="276" w:lineRule="auto"/>
              <w:rPr>
                <w:color w:val="333333"/>
                <w:sz w:val="22"/>
                <w:szCs w:val="22"/>
                <w:highlight w:val="white"/>
              </w:rPr>
            </w:pPr>
          </w:p>
          <w:p w:rsidR="00976521" w14:paraId="3CD1D50F" w14:textId="77777777">
            <w:pPr>
              <w:widowControl w:val="0"/>
              <w:spacing w:line="276" w:lineRule="auto"/>
              <w:rPr>
                <w:color w:val="333333"/>
                <w:sz w:val="22"/>
                <w:szCs w:val="22"/>
                <w:highlight w:val="white"/>
              </w:rPr>
            </w:pPr>
          </w:p>
        </w:tc>
        <w:tc>
          <w:tcPr>
            <w:tcW w:w="1681" w:type="dxa"/>
          </w:tcPr>
          <w:p w:rsidR="00976521" w14:paraId="3CD1D510" w14:textId="77777777">
            <w:pPr>
              <w:widowControl w:val="0"/>
              <w:spacing w:line="276" w:lineRule="auto"/>
              <w:rPr>
                <w:sz w:val="22"/>
                <w:szCs w:val="22"/>
              </w:rPr>
            </w:pPr>
          </w:p>
        </w:tc>
        <w:tc>
          <w:tcPr>
            <w:tcW w:w="1714" w:type="dxa"/>
          </w:tcPr>
          <w:p w:rsidR="00976521" w14:paraId="3CD1D511" w14:textId="77777777">
            <w:pPr>
              <w:widowControl w:val="0"/>
              <w:spacing w:line="276" w:lineRule="auto"/>
              <w:rPr>
                <w:sz w:val="22"/>
                <w:szCs w:val="22"/>
              </w:rPr>
            </w:pPr>
          </w:p>
        </w:tc>
        <w:tc>
          <w:tcPr>
            <w:tcW w:w="3251" w:type="dxa"/>
          </w:tcPr>
          <w:p w:rsidR="00976521" w14:paraId="3CD1D512" w14:textId="77777777">
            <w:pPr>
              <w:widowControl w:val="0"/>
              <w:spacing w:line="276" w:lineRule="auto"/>
              <w:rPr>
                <w:sz w:val="22"/>
                <w:szCs w:val="22"/>
              </w:rPr>
            </w:pPr>
          </w:p>
        </w:tc>
      </w:tr>
      <w:tr w14:paraId="3CD1D51A" w14:textId="77777777" w:rsidTr="00717556">
        <w:tblPrEx>
          <w:tblW w:w="9591" w:type="dxa"/>
          <w:tblLayout w:type="fixed"/>
          <w:tblLook w:val="0400"/>
        </w:tblPrEx>
        <w:trPr>
          <w:trHeight w:val="1095"/>
        </w:trPr>
        <w:tc>
          <w:tcPr>
            <w:tcW w:w="2945" w:type="dxa"/>
          </w:tcPr>
          <w:p w:rsidR="00976521" w14:paraId="3CD1D514" w14:textId="77777777">
            <w:pPr>
              <w:widowControl w:val="0"/>
              <w:bidi w:val="0"/>
              <w:spacing w:line="276" w:lineRule="auto"/>
              <w:rPr>
                <w:color w:val="333333"/>
                <w:sz w:val="22"/>
                <w:szCs w:val="22"/>
                <w:highlight w:val="white"/>
              </w:rPr>
            </w:pPr>
            <w:r>
              <w:rPr>
                <w:color w:val="333333"/>
                <w:sz w:val="22"/>
                <w:szCs w:val="22"/>
                <w:highlight w:val="white"/>
                <w:rtl w:val="0"/>
                <w:lang w:val="fr"/>
              </w:rPr>
              <w:t>Processus de mise en œuvre et rôles du personnel</w:t>
            </w:r>
          </w:p>
          <w:p w:rsidR="00976521" w14:paraId="3CD1D515" w14:textId="77777777">
            <w:pPr>
              <w:widowControl w:val="0"/>
              <w:spacing w:line="276" w:lineRule="auto"/>
              <w:rPr>
                <w:color w:val="333333"/>
                <w:sz w:val="22"/>
                <w:szCs w:val="22"/>
                <w:highlight w:val="white"/>
              </w:rPr>
            </w:pPr>
          </w:p>
          <w:p w:rsidR="00976521" w14:paraId="3CD1D516" w14:textId="77777777">
            <w:pPr>
              <w:widowControl w:val="0"/>
              <w:spacing w:line="276" w:lineRule="auto"/>
              <w:rPr>
                <w:color w:val="333333"/>
                <w:sz w:val="22"/>
                <w:szCs w:val="22"/>
                <w:highlight w:val="white"/>
              </w:rPr>
            </w:pPr>
          </w:p>
        </w:tc>
        <w:tc>
          <w:tcPr>
            <w:tcW w:w="1681" w:type="dxa"/>
          </w:tcPr>
          <w:p w:rsidR="00976521" w14:paraId="3CD1D517" w14:textId="77777777">
            <w:pPr>
              <w:widowControl w:val="0"/>
              <w:spacing w:line="276" w:lineRule="auto"/>
              <w:rPr>
                <w:sz w:val="22"/>
                <w:szCs w:val="22"/>
              </w:rPr>
            </w:pPr>
          </w:p>
        </w:tc>
        <w:tc>
          <w:tcPr>
            <w:tcW w:w="1714" w:type="dxa"/>
          </w:tcPr>
          <w:p w:rsidR="00976521" w14:paraId="3CD1D518" w14:textId="77777777">
            <w:pPr>
              <w:widowControl w:val="0"/>
              <w:spacing w:line="276" w:lineRule="auto"/>
              <w:rPr>
                <w:sz w:val="22"/>
                <w:szCs w:val="22"/>
              </w:rPr>
            </w:pPr>
          </w:p>
        </w:tc>
        <w:tc>
          <w:tcPr>
            <w:tcW w:w="3251" w:type="dxa"/>
          </w:tcPr>
          <w:p w:rsidR="00976521" w14:paraId="3CD1D519" w14:textId="77777777">
            <w:pPr>
              <w:widowControl w:val="0"/>
              <w:spacing w:line="276" w:lineRule="auto"/>
              <w:rPr>
                <w:sz w:val="22"/>
                <w:szCs w:val="22"/>
              </w:rPr>
            </w:pPr>
          </w:p>
        </w:tc>
      </w:tr>
      <w:tr w14:paraId="3CD1D521" w14:textId="77777777" w:rsidTr="00717556">
        <w:tblPrEx>
          <w:tblW w:w="9591" w:type="dxa"/>
          <w:tblLayout w:type="fixed"/>
          <w:tblLook w:val="0400"/>
        </w:tblPrEx>
        <w:trPr>
          <w:trHeight w:val="1105"/>
        </w:trPr>
        <w:tc>
          <w:tcPr>
            <w:tcW w:w="2945" w:type="dxa"/>
          </w:tcPr>
          <w:p w:rsidR="00976521" w14:paraId="3CD1D51B" w14:textId="77777777">
            <w:pPr>
              <w:widowControl w:val="0"/>
              <w:bidi w:val="0"/>
              <w:spacing w:line="276" w:lineRule="auto"/>
              <w:rPr>
                <w:color w:val="333333"/>
                <w:sz w:val="22"/>
                <w:szCs w:val="22"/>
                <w:highlight w:val="white"/>
              </w:rPr>
            </w:pPr>
            <w:r>
              <w:rPr>
                <w:color w:val="333333"/>
                <w:sz w:val="22"/>
                <w:szCs w:val="22"/>
                <w:highlight w:val="white"/>
                <w:rtl w:val="0"/>
                <w:lang w:val="fr"/>
              </w:rPr>
              <w:t>Budget, calendrier et ressources humaines</w:t>
            </w:r>
          </w:p>
          <w:p w:rsidR="00976521" w14:paraId="3CD1D51C" w14:textId="77777777">
            <w:pPr>
              <w:widowControl w:val="0"/>
              <w:spacing w:line="276" w:lineRule="auto"/>
              <w:rPr>
                <w:color w:val="333333"/>
                <w:sz w:val="22"/>
                <w:szCs w:val="22"/>
                <w:highlight w:val="white"/>
              </w:rPr>
            </w:pPr>
          </w:p>
          <w:p w:rsidR="00976521" w14:paraId="3CD1D51D" w14:textId="77777777">
            <w:pPr>
              <w:widowControl w:val="0"/>
              <w:spacing w:line="276" w:lineRule="auto"/>
              <w:rPr>
                <w:color w:val="333333"/>
                <w:sz w:val="22"/>
                <w:szCs w:val="22"/>
                <w:highlight w:val="white"/>
              </w:rPr>
            </w:pPr>
          </w:p>
        </w:tc>
        <w:tc>
          <w:tcPr>
            <w:tcW w:w="1681" w:type="dxa"/>
          </w:tcPr>
          <w:p w:rsidR="00976521" w14:paraId="3CD1D51E" w14:textId="77777777">
            <w:pPr>
              <w:widowControl w:val="0"/>
              <w:spacing w:line="276" w:lineRule="auto"/>
              <w:rPr>
                <w:sz w:val="22"/>
                <w:szCs w:val="22"/>
              </w:rPr>
            </w:pPr>
          </w:p>
        </w:tc>
        <w:tc>
          <w:tcPr>
            <w:tcW w:w="1714" w:type="dxa"/>
          </w:tcPr>
          <w:p w:rsidR="00976521" w14:paraId="3CD1D51F" w14:textId="77777777">
            <w:pPr>
              <w:widowControl w:val="0"/>
              <w:spacing w:line="276" w:lineRule="auto"/>
              <w:rPr>
                <w:sz w:val="22"/>
                <w:szCs w:val="22"/>
              </w:rPr>
            </w:pPr>
          </w:p>
        </w:tc>
        <w:tc>
          <w:tcPr>
            <w:tcW w:w="3251" w:type="dxa"/>
          </w:tcPr>
          <w:p w:rsidR="00976521" w14:paraId="3CD1D520" w14:textId="77777777">
            <w:pPr>
              <w:widowControl w:val="0"/>
              <w:spacing w:line="276" w:lineRule="auto"/>
              <w:rPr>
                <w:sz w:val="22"/>
                <w:szCs w:val="22"/>
              </w:rPr>
            </w:pPr>
          </w:p>
        </w:tc>
      </w:tr>
      <w:tr w14:paraId="3CD1D528" w14:textId="77777777" w:rsidTr="00717556">
        <w:tblPrEx>
          <w:tblW w:w="9591" w:type="dxa"/>
          <w:tblLayout w:type="fixed"/>
          <w:tblLook w:val="0400"/>
        </w:tblPrEx>
        <w:trPr>
          <w:trHeight w:val="821"/>
        </w:trPr>
        <w:tc>
          <w:tcPr>
            <w:tcW w:w="2945" w:type="dxa"/>
          </w:tcPr>
          <w:p w:rsidR="00976521" w14:paraId="3CD1D522" w14:textId="77777777">
            <w:pPr>
              <w:widowControl w:val="0"/>
              <w:bidi w:val="0"/>
              <w:spacing w:line="276" w:lineRule="auto"/>
              <w:rPr>
                <w:color w:val="333333"/>
                <w:sz w:val="22"/>
                <w:szCs w:val="22"/>
                <w:highlight w:val="white"/>
              </w:rPr>
            </w:pPr>
            <w:r>
              <w:rPr>
                <w:color w:val="333333"/>
                <w:sz w:val="22"/>
                <w:szCs w:val="22"/>
                <w:highlight w:val="white"/>
                <w:rtl w:val="0"/>
                <w:lang w:val="fr"/>
              </w:rPr>
              <w:t>Approches de GC</w:t>
            </w:r>
          </w:p>
          <w:p w:rsidR="00976521" w14:paraId="3CD1D523" w14:textId="77777777">
            <w:pPr>
              <w:widowControl w:val="0"/>
              <w:spacing w:line="276" w:lineRule="auto"/>
              <w:rPr>
                <w:color w:val="333333"/>
                <w:sz w:val="22"/>
                <w:szCs w:val="22"/>
                <w:highlight w:val="white"/>
              </w:rPr>
            </w:pPr>
          </w:p>
          <w:p w:rsidR="00976521" w14:paraId="3CD1D524" w14:textId="77777777">
            <w:pPr>
              <w:widowControl w:val="0"/>
              <w:spacing w:line="276" w:lineRule="auto"/>
              <w:rPr>
                <w:color w:val="333333"/>
                <w:sz w:val="22"/>
                <w:szCs w:val="22"/>
                <w:highlight w:val="white"/>
              </w:rPr>
            </w:pPr>
          </w:p>
        </w:tc>
        <w:tc>
          <w:tcPr>
            <w:tcW w:w="1681" w:type="dxa"/>
          </w:tcPr>
          <w:p w:rsidR="00976521" w14:paraId="3CD1D525" w14:textId="77777777">
            <w:pPr>
              <w:widowControl w:val="0"/>
              <w:spacing w:line="276" w:lineRule="auto"/>
              <w:rPr>
                <w:sz w:val="22"/>
                <w:szCs w:val="22"/>
              </w:rPr>
            </w:pPr>
          </w:p>
        </w:tc>
        <w:tc>
          <w:tcPr>
            <w:tcW w:w="1714" w:type="dxa"/>
          </w:tcPr>
          <w:p w:rsidR="00976521" w14:paraId="3CD1D526" w14:textId="77777777">
            <w:pPr>
              <w:widowControl w:val="0"/>
              <w:spacing w:line="276" w:lineRule="auto"/>
              <w:rPr>
                <w:sz w:val="22"/>
                <w:szCs w:val="22"/>
              </w:rPr>
            </w:pPr>
          </w:p>
        </w:tc>
        <w:tc>
          <w:tcPr>
            <w:tcW w:w="3251" w:type="dxa"/>
          </w:tcPr>
          <w:p w:rsidR="00976521" w14:paraId="3CD1D527" w14:textId="77777777">
            <w:pPr>
              <w:widowControl w:val="0"/>
              <w:spacing w:line="276" w:lineRule="auto"/>
              <w:rPr>
                <w:sz w:val="22"/>
                <w:szCs w:val="22"/>
              </w:rPr>
            </w:pPr>
          </w:p>
        </w:tc>
      </w:tr>
      <w:tr w14:paraId="3CD1D52F" w14:textId="77777777" w:rsidTr="00717556">
        <w:tblPrEx>
          <w:tblW w:w="9591" w:type="dxa"/>
          <w:tblLayout w:type="fixed"/>
          <w:tblLook w:val="0400"/>
        </w:tblPrEx>
        <w:trPr>
          <w:trHeight w:val="821"/>
        </w:trPr>
        <w:tc>
          <w:tcPr>
            <w:tcW w:w="2945" w:type="dxa"/>
          </w:tcPr>
          <w:p w:rsidR="00976521" w14:paraId="3CD1D529" w14:textId="77777777">
            <w:pPr>
              <w:widowControl w:val="0"/>
              <w:bidi w:val="0"/>
              <w:spacing w:line="276" w:lineRule="auto"/>
              <w:rPr>
                <w:color w:val="333333"/>
                <w:sz w:val="22"/>
                <w:szCs w:val="22"/>
                <w:highlight w:val="white"/>
              </w:rPr>
            </w:pPr>
            <w:r>
              <w:rPr>
                <w:color w:val="333333"/>
                <w:sz w:val="22"/>
                <w:szCs w:val="22"/>
                <w:highlight w:val="white"/>
                <w:rtl w:val="0"/>
                <w:lang w:val="fr"/>
              </w:rPr>
              <w:t xml:space="preserve">Soutien aux TIC  </w:t>
            </w:r>
          </w:p>
          <w:p w:rsidR="00976521" w14:paraId="3CD1D52A" w14:textId="77777777">
            <w:pPr>
              <w:widowControl w:val="0"/>
              <w:spacing w:line="276" w:lineRule="auto"/>
              <w:rPr>
                <w:color w:val="333333"/>
                <w:sz w:val="22"/>
                <w:szCs w:val="22"/>
                <w:highlight w:val="white"/>
              </w:rPr>
            </w:pPr>
          </w:p>
          <w:p w:rsidR="00976521" w14:paraId="3CD1D52B" w14:textId="77777777">
            <w:pPr>
              <w:widowControl w:val="0"/>
              <w:spacing w:line="276" w:lineRule="auto"/>
              <w:rPr>
                <w:color w:val="333333"/>
                <w:sz w:val="22"/>
                <w:szCs w:val="22"/>
                <w:highlight w:val="white"/>
              </w:rPr>
            </w:pPr>
          </w:p>
        </w:tc>
        <w:tc>
          <w:tcPr>
            <w:tcW w:w="1681" w:type="dxa"/>
          </w:tcPr>
          <w:p w:rsidR="00976521" w14:paraId="3CD1D52C" w14:textId="77777777">
            <w:pPr>
              <w:widowControl w:val="0"/>
              <w:spacing w:line="276" w:lineRule="auto"/>
              <w:rPr>
                <w:sz w:val="22"/>
                <w:szCs w:val="22"/>
              </w:rPr>
            </w:pPr>
          </w:p>
        </w:tc>
        <w:tc>
          <w:tcPr>
            <w:tcW w:w="1714" w:type="dxa"/>
          </w:tcPr>
          <w:p w:rsidR="00976521" w14:paraId="3CD1D52D" w14:textId="77777777">
            <w:pPr>
              <w:widowControl w:val="0"/>
              <w:spacing w:line="276" w:lineRule="auto"/>
              <w:rPr>
                <w:sz w:val="22"/>
                <w:szCs w:val="22"/>
              </w:rPr>
            </w:pPr>
          </w:p>
        </w:tc>
        <w:tc>
          <w:tcPr>
            <w:tcW w:w="3251" w:type="dxa"/>
          </w:tcPr>
          <w:p w:rsidR="00976521" w14:paraId="3CD1D52E" w14:textId="77777777">
            <w:pPr>
              <w:widowControl w:val="0"/>
              <w:spacing w:line="276" w:lineRule="auto"/>
              <w:rPr>
                <w:sz w:val="22"/>
                <w:szCs w:val="22"/>
              </w:rPr>
            </w:pPr>
          </w:p>
        </w:tc>
      </w:tr>
      <w:tr w14:paraId="3CD1D536" w14:textId="77777777" w:rsidTr="00717556">
        <w:tblPrEx>
          <w:tblW w:w="9591" w:type="dxa"/>
          <w:tblLayout w:type="fixed"/>
          <w:tblLook w:val="0400"/>
        </w:tblPrEx>
        <w:trPr>
          <w:trHeight w:val="694"/>
        </w:trPr>
        <w:tc>
          <w:tcPr>
            <w:tcW w:w="2945" w:type="dxa"/>
          </w:tcPr>
          <w:p w:rsidR="00976521" w14:paraId="3CD1D530" w14:textId="77777777">
            <w:pPr>
              <w:widowControl w:val="0"/>
              <w:bidi w:val="0"/>
              <w:spacing w:line="276" w:lineRule="auto"/>
              <w:rPr>
                <w:color w:val="333333"/>
                <w:sz w:val="22"/>
                <w:szCs w:val="22"/>
                <w:highlight w:val="white"/>
              </w:rPr>
            </w:pPr>
            <w:r>
              <w:rPr>
                <w:color w:val="333333"/>
                <w:sz w:val="22"/>
                <w:szCs w:val="22"/>
                <w:highlight w:val="white"/>
                <w:rtl w:val="0"/>
                <w:lang w:val="fr"/>
              </w:rPr>
              <w:t>Assurer la durabilité</w:t>
            </w:r>
          </w:p>
          <w:p w:rsidR="00976521" w14:paraId="3CD1D531" w14:textId="77777777">
            <w:pPr>
              <w:widowControl w:val="0"/>
              <w:spacing w:line="276" w:lineRule="auto"/>
              <w:rPr>
                <w:color w:val="333333"/>
                <w:sz w:val="22"/>
                <w:szCs w:val="22"/>
                <w:highlight w:val="white"/>
              </w:rPr>
            </w:pPr>
          </w:p>
          <w:p w:rsidR="00976521" w14:paraId="3CD1D532" w14:textId="77777777">
            <w:pPr>
              <w:widowControl w:val="0"/>
              <w:spacing w:line="276" w:lineRule="auto"/>
              <w:rPr>
                <w:color w:val="333333"/>
                <w:sz w:val="22"/>
                <w:szCs w:val="22"/>
                <w:highlight w:val="white"/>
              </w:rPr>
            </w:pPr>
          </w:p>
        </w:tc>
        <w:tc>
          <w:tcPr>
            <w:tcW w:w="1681" w:type="dxa"/>
          </w:tcPr>
          <w:p w:rsidR="00976521" w14:paraId="3CD1D533" w14:textId="77777777">
            <w:pPr>
              <w:widowControl w:val="0"/>
              <w:spacing w:line="276" w:lineRule="auto"/>
              <w:rPr>
                <w:sz w:val="22"/>
                <w:szCs w:val="22"/>
              </w:rPr>
            </w:pPr>
          </w:p>
        </w:tc>
        <w:tc>
          <w:tcPr>
            <w:tcW w:w="1714" w:type="dxa"/>
          </w:tcPr>
          <w:p w:rsidR="00976521" w14:paraId="3CD1D534" w14:textId="77777777">
            <w:pPr>
              <w:widowControl w:val="0"/>
              <w:spacing w:line="276" w:lineRule="auto"/>
              <w:rPr>
                <w:sz w:val="22"/>
                <w:szCs w:val="22"/>
              </w:rPr>
            </w:pPr>
          </w:p>
        </w:tc>
        <w:tc>
          <w:tcPr>
            <w:tcW w:w="3251" w:type="dxa"/>
          </w:tcPr>
          <w:p w:rsidR="00976521" w14:paraId="3CD1D535" w14:textId="77777777">
            <w:pPr>
              <w:widowControl w:val="0"/>
              <w:spacing w:line="276" w:lineRule="auto"/>
              <w:rPr>
                <w:sz w:val="22"/>
                <w:szCs w:val="22"/>
              </w:rPr>
            </w:pPr>
          </w:p>
        </w:tc>
      </w:tr>
    </w:tbl>
    <w:p w:rsidR="00976521" w:rsidP="00717556" w14:paraId="3CD1D537" w14:textId="77777777">
      <w:pPr>
        <w:widowControl w:val="0"/>
        <w:spacing w:after="0" w:line="276" w:lineRule="auto"/>
      </w:pPr>
    </w:p>
    <w:sectPr>
      <w:headerReference w:type="default" r:id="rId8"/>
      <w:footerReference w:type="default" r:id="rId9"/>
      <w:headerReference w:type="first" r:id="rId10"/>
      <w:footerReference w:type="first" r:id="rId11"/>
      <w:pgSz w:w="12240" w:h="15840"/>
      <w:pgMar w:top="1440" w:right="1440" w:bottom="1440" w:left="1440" w:header="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bin">
    <w:altName w:val="Times New Roman"/>
    <w:charset w:val="00"/>
    <w:family w:val="auto"/>
    <w:pitch w:val="default"/>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6521" w14:paraId="3CD1D53D" w14:textId="77777777">
    <w:pPr>
      <w:spacing w:after="720" w:line="240" w:lineRule="auto"/>
      <w:jc w:val="right"/>
    </w:pPr>
    <w:r>
      <w:fldChar w:fldCharType="begin"/>
    </w:r>
    <w:r>
      <w:instrText>PAGE</w:instrText>
    </w:r>
    <w:r>
      <w:fldChar w:fldCharType="separate"/>
    </w:r>
    <w: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6521" w14:paraId="3CD1D53F" w14:textId="77777777">
    <w:pPr>
      <w:spacing w:after="0" w:line="240" w:lineRule="auto"/>
      <w:jc w:val="right"/>
    </w:pPr>
    <w:r>
      <w:fldChar w:fldCharType="begin"/>
    </w:r>
    <w:r>
      <w:instrText>PAGE</w:instrText>
    </w:r>
    <w:r>
      <w:fldChar w:fldCharType="separate"/>
    </w:r>
    <w:r>
      <w:t>1</w:t>
    </w:r>
    <w:r>
      <w:fldChar w:fldCharType="end"/>
    </w:r>
  </w:p>
  <w:p w:rsidR="00717556" w:rsidRPr="00B543D1" w:rsidP="00717556" w14:paraId="59CAC6F7" w14:textId="77777777">
    <w:pPr>
      <w:pStyle w:val="NormalWeb"/>
      <w:bidi w:val="0"/>
      <w:spacing w:before="0" w:beforeAutospacing="0" w:after="0" w:afterAutospacing="0"/>
      <w:rPr>
        <w:rFonts w:ascii="Arial" w:hAnsi="Arial" w:cs="Arial"/>
        <w:sz w:val="16"/>
        <w:szCs w:val="16"/>
      </w:rPr>
    </w:pPr>
    <w:r w:rsidRPr="00B543D1">
      <w:rPr>
        <w:rFonts w:ascii="Arial" w:hAnsi="Arial" w:cs="Arial"/>
        <w:i/>
        <w:iCs/>
        <w:color w:val="000000"/>
        <w:sz w:val="16"/>
        <w:szCs w:val="16"/>
        <w:rtl w:val="0"/>
        <w:lang w:val="fr"/>
      </w:rPr>
      <w:t xml:space="preserve">Cette ressource est rendue possible grâce au soutien du peuple américain par l'intermédiaire de l'Agence des États-Unis pour le développement international (USAID) dans le cadre de l'accord de coopération du projet SUCCÈS DES CONNAISSANCES (renforcement de l'utilisation, des capacités, de la collaboration, de l'échange, de la synthèse et du partage) « Knowledge SUCCESS (Strengthening Use, Capacity, Collaboration, Exchange, Synthesis, and Sharing) », n° 7200AA19CA00001 avec l'Université Johns Hopkins. Knowledge SUCCESS est soutenu par le Bureau de la santé mondiale de l'USAID, Bureau de la population et de la santé reproductive, et dirigé par le Centre des programmes de communication « Center for Communication Programs (CCP) » de Johns Hopkins en partenariat avec Amref Health Africa, le Centre de Busara pour l'économie comportementale (Busara) et FHI 360. Les informations fournies dans cette ressource relèvent de la seule responsabilité de Knowledge SUCCESS et ne reflètent pas nécessairement les opinions de l'USAID, du gouvernement américain ou de l'Université Johns Hopkins. Cette ressource peut être adaptée selon les besoins. Le matériel original peut être trouvé sur </w:t>
    </w:r>
    <w:hyperlink r:id="rId1" w:history="1">
      <w:r w:rsidRPr="00B543D1">
        <w:rPr>
          <w:rStyle w:val="Hyperlink"/>
          <w:rFonts w:ascii="Arial" w:hAnsi="Arial" w:cs="Arial"/>
          <w:i/>
          <w:iCs/>
          <w:color w:val="1155CC"/>
          <w:sz w:val="16"/>
          <w:szCs w:val="16"/>
          <w:rtl w:val="0"/>
          <w:lang w:val="fr"/>
        </w:rPr>
        <w:t>www.kmtraining.org</w:t>
      </w:r>
    </w:hyperlink>
    <w:r w:rsidRPr="00B543D1">
      <w:rPr>
        <w:rFonts w:ascii="Arial" w:hAnsi="Arial" w:cs="Arial"/>
        <w:i/>
        <w:iCs/>
        <w:color w:val="000000"/>
        <w:sz w:val="16"/>
        <w:szCs w:val="16"/>
        <w:rtl w:val="0"/>
        <w:lang w:val="fr"/>
      </w:rPr>
      <w:t>.</w:t>
    </w:r>
  </w:p>
  <w:p w:rsidR="00976521" w:rsidP="00717556" w14:paraId="3CD1D540" w14:textId="7E3531F7">
    <w:pPr>
      <w:spacing w:after="720" w:line="240" w:lineRule="auto"/>
      <w:ind w:right="360"/>
      <w:rPr>
        <w:i/>
        <w:sz w:val="18"/>
        <w:szCs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6521" w14:paraId="3CD1D53C" w14:textId="77777777">
    <w:pPr>
      <w:spacing w:before="720" w:after="0" w:line="240" w:lineRule="auto"/>
    </w:pPr>
    <w:r>
      <w:rPr>
        <w:noProof/>
      </w:rPr>
      <w:drawing>
        <wp:anchor distT="0" distB="0" distL="114300" distR="114300" simplePos="0" relativeHeight="251658240" behindDoc="0" locked="0" layoutInCell="1" allowOverlap="1">
          <wp:simplePos x="0" y="0"/>
          <wp:positionH relativeFrom="margin">
            <wp:posOffset>0</wp:posOffset>
          </wp:positionH>
          <wp:positionV relativeFrom="paragraph">
            <wp:posOffset>248285</wp:posOffset>
          </wp:positionV>
          <wp:extent cx="3361921" cy="420624"/>
          <wp:effectExtent l="0" t="0" r="0" b="0"/>
          <wp:wrapNone/>
          <wp:docPr id="2" name="image3.jpg"/>
          <wp:cNvGraphicFramePr/>
          <a:graphic xmlns:a="http://schemas.openxmlformats.org/drawingml/2006/main">
            <a:graphicData uri="http://schemas.openxmlformats.org/drawingml/2006/picture">
              <pic:pic xmlns:pic="http://schemas.openxmlformats.org/drawingml/2006/picture">
                <pic:nvPicPr>
                  <pic:cNvPr id="444129841" name="image3.jpg"/>
                  <pic:cNvPicPr/>
                </pic:nvPicPr>
                <pic:blipFill>
                  <a:blip xmlns:r="http://schemas.openxmlformats.org/officeDocument/2006/relationships" r:embed="rId1"/>
                  <a:stretch>
                    <a:fillRect/>
                  </a:stretch>
                </pic:blipFill>
                <pic:spPr>
                  <a:xfrm>
                    <a:off x="0" y="0"/>
                    <a:ext cx="3361921" cy="42062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76521" w14:paraId="3CD1D53E" w14:textId="77777777">
    <w:pPr>
      <w:spacing w:before="720" w:after="0" w:line="240" w:lineRule="auto"/>
    </w:pPr>
    <w:r>
      <w:rPr>
        <w:noProof/>
      </w:rPr>
      <w:drawing>
        <wp:anchor distT="0" distB="0" distL="114300" distR="114300" simplePos="0" relativeHeight="251659264" behindDoc="0" locked="0" layoutInCell="1" allowOverlap="1">
          <wp:simplePos x="0" y="0"/>
          <wp:positionH relativeFrom="margin">
            <wp:posOffset>12585</wp:posOffset>
          </wp:positionH>
          <wp:positionV relativeFrom="paragraph">
            <wp:posOffset>219710</wp:posOffset>
          </wp:positionV>
          <wp:extent cx="3361921" cy="420624"/>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864631623" name="image2.jpg"/>
                  <pic:cNvPicPr/>
                </pic:nvPicPr>
                <pic:blipFill>
                  <a:blip xmlns:r="http://schemas.openxmlformats.org/officeDocument/2006/relationships" r:embed="rId1"/>
                  <a:stretch>
                    <a:fillRect/>
                  </a:stretch>
                </pic:blipFill>
                <pic:spPr>
                  <a:xfrm>
                    <a:off x="0" y="0"/>
                    <a:ext cx="3361921" cy="42062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01456BE"/>
    <w:multiLevelType w:val="multilevel"/>
    <w:tmpl w:val="E8406C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24ED524A"/>
    <w:multiLevelType w:val="multilevel"/>
    <w:tmpl w:val="54BC34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38775C97"/>
    <w:multiLevelType w:val="multilevel"/>
    <w:tmpl w:val="AE9418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1EB113C"/>
    <w:multiLevelType w:val="multilevel"/>
    <w:tmpl w:val="AA68FD9C"/>
    <w:lvl w:ilvl="0">
      <w:start w:val="1"/>
      <w:numFmt w:val="bullet"/>
      <w:lvlText w:val="●"/>
      <w:lvlJc w:val="left"/>
      <w:pPr>
        <w:ind w:left="72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4">
    <w:nsid w:val="49702074"/>
    <w:multiLevelType w:val="multilevel"/>
    <w:tmpl w:val="6B1A659C"/>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
    <w:nsid w:val="540D2B7B"/>
    <w:multiLevelType w:val="multilevel"/>
    <w:tmpl w:val="93BAC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4B313B7"/>
    <w:multiLevelType w:val="multilevel"/>
    <w:tmpl w:val="EB68772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7CC03646"/>
    <w:multiLevelType w:val="multilevel"/>
    <w:tmpl w:val="A2A4FC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7"/>
  </w:num>
  <w:num w:numId="3">
    <w:abstractNumId w:val="4"/>
  </w:num>
  <w:num w:numId="4">
    <w:abstractNumId w:val="6"/>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521"/>
    <w:rsid w:val="00717556"/>
    <w:rsid w:val="00976521"/>
    <w:rsid w:val="00A6750E"/>
    <w:rsid w:val="00B543D1"/>
    <w:rsid w:val="00C155C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48C122E-2270-4B8F-B7CA-B43E5AFB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bin" w:eastAsia="Cabin" w:hAnsi="Cabin" w:cs="Cabin"/>
        <w:color w:val="000000"/>
        <w:sz w:val="24"/>
        <w:szCs w:val="24"/>
        <w:lang w:val="en-US" w:eastAsia="en-US" w:bidi="ar-SA"/>
      </w:rPr>
    </w:rPrDefault>
    <w:pPrDefault>
      <w:pPr>
        <w:pBdr>
          <w:top w:val="nil"/>
          <w:left w:val="nil"/>
          <w:bottom w:val="nil"/>
          <w:right w:val="nil"/>
          <w:between w:val="nil"/>
        </w:pBd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60" w:after="480" w:line="276" w:lineRule="auto"/>
      <w:outlineLvl w:val="0"/>
    </w:pPr>
    <w:rPr>
      <w:b/>
      <w:sz w:val="40"/>
      <w:szCs w:val="40"/>
    </w:rPr>
  </w:style>
  <w:style w:type="paragraph" w:styleId="Heading2">
    <w:name w:val="heading 2"/>
    <w:basedOn w:val="Normal"/>
    <w:next w:val="Normal"/>
    <w:pPr>
      <w:keepNext/>
      <w:keepLines/>
      <w:spacing w:before="160" w:after="160" w:line="276" w:lineRule="auto"/>
      <w:outlineLvl w:val="1"/>
    </w:pPr>
    <w:rPr>
      <w:b/>
      <w:sz w:val="28"/>
      <w:szCs w:val="28"/>
    </w:rPr>
  </w:style>
  <w:style w:type="paragraph" w:styleId="Heading3">
    <w:name w:val="heading 3"/>
    <w:basedOn w:val="Normal"/>
    <w:next w:val="Normal"/>
    <w:pPr>
      <w:keepNext/>
      <w:keepLines/>
      <w:spacing w:before="160" w:after="160" w:line="276" w:lineRule="auto"/>
      <w:outlineLvl w:val="2"/>
    </w:pPr>
    <w:rPr>
      <w:i/>
      <w:sz w:val="22"/>
      <w:szCs w:val="22"/>
    </w:rPr>
  </w:style>
  <w:style w:type="paragraph" w:styleId="Heading4">
    <w:name w:val="heading 4"/>
    <w:basedOn w:val="Normal"/>
    <w:next w:val="Normal"/>
    <w:pPr>
      <w:keepNext/>
      <w:keepLines/>
      <w:spacing w:before="460"/>
      <w:outlineLvl w:val="3"/>
    </w:pPr>
    <w:rPr>
      <w:rFonts w:ascii="Calibri" w:eastAsia="Calibri" w:hAnsi="Calibri" w:cs="Calibri"/>
      <w:i/>
      <w:sz w:val="40"/>
      <w:szCs w:val="40"/>
    </w:rPr>
  </w:style>
  <w:style w:type="paragraph" w:styleId="Heading5">
    <w:name w:val="heading 5"/>
    <w:basedOn w:val="Normal"/>
    <w:next w:val="Normal"/>
    <w:pPr>
      <w:keepNext/>
      <w:keepLines/>
      <w:spacing w:before="460"/>
      <w:outlineLvl w:val="4"/>
    </w:pPr>
    <w:rPr>
      <w:rFonts w:ascii="Calibri" w:eastAsia="Calibri" w:hAnsi="Calibri" w:cs="Calibri"/>
      <w:color w:val="262626"/>
      <w:sz w:val="34"/>
      <w:szCs w:val="34"/>
    </w:rPr>
  </w:style>
  <w:style w:type="paragraph" w:styleId="Heading6">
    <w:name w:val="heading 6"/>
    <w:basedOn w:val="Normal"/>
    <w:next w:val="Normal"/>
    <w:pPr>
      <w:keepNext/>
      <w:keepLines/>
      <w:spacing w:before="460"/>
      <w:outlineLvl w:val="5"/>
    </w:pPr>
    <w:rPr>
      <w:rFonts w:ascii="Calibri" w:eastAsia="Calibri" w:hAnsi="Calibri" w:cs="Calibri"/>
      <w:i/>
      <w:color w:val="26262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60" w:line="240" w:lineRule="auto"/>
      <w:contextualSpacing/>
    </w:pPr>
    <w:rPr>
      <w:rFonts w:ascii="Calibri" w:eastAsia="Calibri" w:hAnsi="Calibri" w:cs="Calibri"/>
      <w:smallCaps/>
      <w:color w:val="262626"/>
      <w:sz w:val="66"/>
      <w:szCs w:val="66"/>
    </w:rPr>
  </w:style>
  <w:style w:type="paragraph" w:styleId="Subtitle">
    <w:name w:val="Subtitle"/>
    <w:basedOn w:val="Normal"/>
    <w:next w:val="Normal"/>
    <w:pPr>
      <w:spacing w:after="520"/>
      <w:contextualSpacing/>
    </w:pPr>
    <w:rPr>
      <w:smallCaps/>
      <w:sz w:val="40"/>
      <w:szCs w:val="40"/>
    </w:rPr>
  </w:style>
  <w:style w:type="table" w:customStyle="1" w:styleId="a">
    <w:name w:val="a"/>
    <w:basedOn w:val="TableNormal"/>
    <w:pPr>
      <w:spacing w:after="0" w:line="240" w:lineRule="auto"/>
    </w:pPr>
    <w:tblPr>
      <w:tblStyleRowBandSize w:val="1"/>
      <w:tblStyleColBandSize w:val="1"/>
    </w:tblPr>
  </w:style>
  <w:style w:type="table" w:customStyle="1" w:styleId="a0">
    <w:name w:val="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67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50E"/>
  </w:style>
  <w:style w:type="paragraph" w:styleId="Footer">
    <w:name w:val="footer"/>
    <w:basedOn w:val="Normal"/>
    <w:link w:val="FooterChar"/>
    <w:uiPriority w:val="99"/>
    <w:unhideWhenUsed/>
    <w:rsid w:val="00A67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50E"/>
  </w:style>
  <w:style w:type="paragraph" w:styleId="NormalWeb">
    <w:name w:val="Normal (Web)"/>
    <w:basedOn w:val="Normal"/>
    <w:uiPriority w:val="99"/>
    <w:semiHidden/>
    <w:unhideWhenUsed/>
    <w:rsid w:val="00717556"/>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rPr>
  </w:style>
  <w:style w:type="character" w:styleId="Hyperlink">
    <w:name w:val="Hyperlink"/>
    <w:basedOn w:val="DefaultParagraphFont"/>
    <w:uiPriority w:val="99"/>
    <w:semiHidden/>
    <w:unhideWhenUsed/>
    <w:rsid w:val="00717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apps.who.int/iris/handle/10665/69119" TargetMode="External" /><Relationship Id="rId5" Type="http://schemas.openxmlformats.org/officeDocument/2006/relationships/hyperlink" Target="http://www.undp.org/content/undp/en/home/librarypage/capacity-building/knowledge/undp_s-knowledge-management-strategy.html" TargetMode="External" /><Relationship Id="rId6" Type="http://schemas.openxmlformats.org/officeDocument/2006/relationships/hyperlink" Target="http://www.carebangladesh.org/publication/Publication_4478768.pdf" TargetMode="External" /><Relationship Id="rId7" Type="http://schemas.openxmlformats.org/officeDocument/2006/relationships/hyperlink" Target="http://pdf.usaid.gov/pdf_docs/PA00K7QX.pdf" TargetMode="External" /><Relationship Id="rId8" Type="http://schemas.openxmlformats.org/officeDocument/2006/relationships/header" Target="header1.xml" /><Relationship Id="rId9" Type="http://schemas.openxmlformats.org/officeDocument/2006/relationships/footer" Target="footer1.xml" /></Relationships>
</file>

<file path=word/_rels/footer2.xml.rels>&#65279;<?xml version="1.0" encoding="utf-8" standalone="yes"?><Relationships xmlns="http://schemas.openxmlformats.org/package/2006/relationships"><Relationship Id="rId1" Type="http://schemas.openxmlformats.org/officeDocument/2006/relationships/hyperlink" Target="http://www.kmtraining.org"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1673</Words>
  <Characters>9540</Characters>
  <Application>Microsoft Office Word</Application>
  <DocSecurity>0</DocSecurity>
  <Lines>79</Lines>
  <Paragraphs>22</Paragraphs>
  <ScaleCrop>false</ScaleCrop>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2017-11-13T21:53:00Z</dcterms:created>
  <dcterms:modified xsi:type="dcterms:W3CDTF">2021-07-13T19:58:00Z</dcterms:modified>
</cp:coreProperties>
</file>